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Achondroplasia</w:t>
      </w:r>
    </w:p>
    <w:p>
      <w:r>
        <w:t>Genetics</w:t>
      </w:r>
    </w:p>
    <w:p>
      <w:r>
        <w:t>-Gene: FGFR3 (Fibroblast growth factor receptor 3; 4p16.3)</w:t>
      </w:r>
    </w:p>
    <w:p>
      <w:r>
        <w:t>-AD (80% de novo)</w:t>
      </w:r>
    </w:p>
    <w:p>
      <w:r>
        <w:t>Clinical findings/Dysmorphic features</w:t>
      </w:r>
    </w:p>
    <w:p>
      <w:r>
        <w:t>-Rhizomelic (proximal limb) shortening of the limbs; macrocephaly; frontal bossing; midface retrusion; trident hand</w:t>
      </w:r>
    </w:p>
    <w:p>
      <w:r>
        <w:t>-In infancy: hypotonia is typical, developmental motor milestones often delayed</w:t>
      </w:r>
    </w:p>
    <w:p>
      <w:r>
        <w:t>-Intelligence and life span are usually near normal</w:t>
      </w:r>
    </w:p>
    <w:p>
      <w:r>
        <w:t>-Complications: craniocervical junction compression, obstructive sleep apnea, middle ear dysfunction, kyphosis, spinal stenosis</w:t>
      </w:r>
    </w:p>
    <w:p>
      <w:r>
        <w:t>Etiology</w:t>
      </w:r>
    </w:p>
    <w:p>
      <w:r>
        <w:t xml:space="preserve">-Most common form of inherited disproportionate short stature; 1:26,000-1:28,000 live births </w:t>
      </w:r>
    </w:p>
    <w:p>
      <w:r>
        <w:t>Pathogenesis</w:t>
      </w:r>
    </w:p>
    <w:p>
      <w:r>
        <w:t>-FGFR-3: membrane-spanning tyrosine kinase receptor: extracellular ligand-binding domain (three immunoglobulin (Ig) subdomains), transmembrane domain, a split intracellular tyrosine kinase domain</w:t>
      </w:r>
    </w:p>
    <w:p>
      <w:r>
        <w:t>-WT-FGFR-3: neg. regulator of bone growth (inhibition of chondrocyte proliferation and diff.)</w:t>
      </w:r>
    </w:p>
    <w:p>
      <w:r>
        <w:t>-p.Gly380Arg in transmembrane domain --&gt; constitutive activation and excess inhibitory signaling in growth plate chondrocytes</w:t>
      </w:r>
    </w:p>
    <w:p>
      <w:r>
        <w:t>Genetic testing/diagnosis</w:t>
      </w:r>
    </w:p>
    <w:p>
      <w:r>
        <w:t>-Individuals with typical findings do not need molecular confirmation of the diagnosis</w:t>
      </w:r>
    </w:p>
    <w:p>
      <w:r>
        <w:t>-c.1138G&gt;A (p.Gly380Arg) in 98% and c.1138G&gt;C (p.Gly380Arg) in 1%</w:t>
      </w:r>
    </w:p>
    <w:p>
      <w:r>
        <w:t>Others</w:t>
      </w:r>
    </w:p>
    <w:p>
      <w:r>
        <w:t xml:space="preserve">-Family of bone dysplasias (hypochondroplasia, achondroplasia, SADDAN dysplasia, thanatophoric dysplasia type I and II) due to FGFR3 variants --&gt; graded FGFR-3 activation </w:t>
      </w:r>
    </w:p>
    <w:p>
      <w:r>
        <w:t>-De novo mutations occur exclusively on paternally-derived allele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