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Diastrophic Dysplasia</w:t>
      </w:r>
    </w:p>
    <w:p>
      <w:r>
        <w:t>Genetics</w:t>
      </w:r>
    </w:p>
    <w:p>
      <w:r>
        <w:t>-Gene: SLC26A2 (Sulfate transporter; 5q32-q33.1)</w:t>
      </w:r>
    </w:p>
    <w:p>
      <w:r>
        <w:t>-AR</w:t>
      </w:r>
    </w:p>
    <w:p>
      <w:r>
        <w:t>Clinical findings/Dysmorphic features</w:t>
      </w:r>
    </w:p>
    <w:p>
      <w:r>
        <w:t>-Short limbs, normal-sized skull, hitchhiker thumbs, small chest, large joint contracture, cleft palate, cystic ears (cauliflower ears), ulnar deviation of fingers, clubfoot, low tone, early osteoarthritis; spinal (scoliosis, exaggerated lumbar lordosis, cervical kyphosis); normal IQ</w:t>
      </w:r>
    </w:p>
    <w:p>
      <w:r>
        <w:t>Etiology</w:t>
      </w:r>
    </w:p>
    <w:p>
      <w:r>
        <w:t>-Approximately 1:100,000</w:t>
      </w:r>
    </w:p>
    <w:p>
      <w:r>
        <w:t>Pathogenesis</w:t>
      </w:r>
    </w:p>
    <w:p>
      <w:r>
        <w:t>-Impaired activity of the sulfate transporter in chondrocytes and fibroblasts --&gt; synthesis of unsulfated proteoglycans due to intracellular sulfate depletion --&gt; affects composition of the extracellular matrix and leads to impaired proteoglycan deposition --&gt; necessary for proper enchondral bone formation</w:t>
      </w:r>
    </w:p>
    <w:p>
      <w:r>
        <w:t>Genetic testing/diagnosis</w:t>
      </w:r>
    </w:p>
    <w:p>
      <w:r>
        <w:t>-SLC26A2 only gene; targeted testing --&gt; then sequencing --&gt; then InDel</w:t>
      </w:r>
    </w:p>
    <w:p>
      <w:r>
        <w:t>-Most common variants: p.Arg279Trp (37% of the disease alleles), p.Arg178Ter (13%), c.-26+2T&gt;C (8%), p.Cys653Ser (6%); most cases of DTD (97%) are due to com-het variants</w:t>
      </w:r>
    </w:p>
    <w:p>
      <w:r>
        <w:t>Others</w:t>
      </w:r>
    </w:p>
    <w:p>
      <w:r>
        <w:t>-Incorporation of sulfate into macromolecules can be studied in cultured chondrocytes and/or skin fibroblasts through double labeling with 3H-glycine and 35S-sodium sulfate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