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Hypochondroplasia</w:t>
      </w:r>
    </w:p>
    <w:p>
      <w:r>
        <w:t>Genetics</w:t>
      </w:r>
    </w:p>
    <w:p>
      <w:r>
        <w:t>-Gene: FGFR3 (Fibroblast growth factor receptor 3; 4p16.3)</w:t>
      </w:r>
    </w:p>
    <w:p>
      <w:r>
        <w:t>-AD</w:t>
      </w:r>
    </w:p>
    <w:p>
      <w:r>
        <w:t>Clinical findings/Dysmorphic features</w:t>
      </w:r>
    </w:p>
    <w:p>
      <w:r>
        <w:t>-Short stature; stocky build; rhizo- or mesomelia; limited elbow extension; brachydactyly; mild joint laxity; macrocephaly; scoliosis; genu varum (O-beine); lumbar lordosis; no trident hand; normal face; adult onset osteoarthritis; mild to moderate ID and/or LD might be present</w:t>
      </w:r>
    </w:p>
    <w:p>
      <w:r>
        <w:t>-Skeletal features very similar to achondroplasia but milder; medical complications common to achondroplasia (spinal stenosis, tibial bowing, obstructive apnea) are less frequent</w:t>
      </w:r>
    </w:p>
    <w:p>
      <w:r>
        <w:t>Etiology</w:t>
      </w:r>
    </w:p>
    <w:p>
      <w:r>
        <w:t>-May approach the prevalence of achondroplasia (i.e., 1 in 15,000 - 40,000 live births)</w:t>
      </w:r>
    </w:p>
    <w:p>
      <w:r>
        <w:t>Pathogenesis</w:t>
      </w:r>
    </w:p>
    <w:p>
      <w:r>
        <w:t>-FGFR3 normally functions as a negative regulator of bone growth</w:t>
      </w:r>
    </w:p>
    <w:p>
      <w:r>
        <w:t>-FGFR3 pathogenic variants --&gt; constitutive activation of the receptor tyrosine kinase (but to lesser degree than these other pathogenic variants)</w:t>
      </w:r>
    </w:p>
    <w:p>
      <w:r>
        <w:t>Genetic testing/diagnosis</w:t>
      </w:r>
    </w:p>
    <w:p>
      <w:r>
        <w:t>-70% are heterozygous for a pathogenic variant in FGFR3; locus heterogeneity</w:t>
      </w:r>
    </w:p>
    <w:p>
      <w:r>
        <w:t>-Targeted mutation analysis: p.Asn540Lys(C1620A) (70%), p.Asn540Lys(C1620G) (30%)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