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COL1A1-2-Related Osteogenesis Imperfecta</w:t>
      </w:r>
    </w:p>
    <w:p>
      <w:r>
        <w:t>Genetics</w:t>
      </w:r>
    </w:p>
    <w:p>
      <w:r>
        <w:t>-Gene: COL1A1 (Collagen α1(I) chain; 17q21.33), COL1A2 (Collagen α2(I) chain; 7q21.3)</w:t>
      </w:r>
    </w:p>
    <w:p>
      <w:r>
        <w:t>-Encode the two chains pro α1(I) and pro α2(I) of type I procollagen --&gt; collagen type I is a heterotrimer consisting of two α 1 chains and one α 2 chain</w:t>
      </w:r>
    </w:p>
    <w:p>
      <w:r>
        <w:t>-AD and rare AR; penetrance 100%</w:t>
      </w:r>
    </w:p>
    <w:p>
      <w:r>
        <w:t>-De novo: 60% of type I and type IV; close to 100% of type III; 100% of type II</w:t>
      </w:r>
    </w:p>
    <w:p>
      <w:r>
        <w:t>Clinical findings/Dysmorphic features</w:t>
      </w:r>
    </w:p>
    <w:p>
      <w:r>
        <w:t xml:space="preserve">-Fractures with minimal trauma; dentinogenesis imperfecta (DI); blue sclera; adult-onset HL </w:t>
      </w:r>
    </w:p>
    <w:p>
      <w:r>
        <w:t>-Continuum: perinatal lethality - severe skeletal deformities/mobility impairments/very short stature - nearly asymptomatic ind. with mild predisposition to fractures/normal dentition/normal stature/normal life span</w:t>
      </w:r>
    </w:p>
    <w:p>
      <w:r>
        <w:t>-Fractures can occur in any bone, but are most common in extremities</w:t>
      </w:r>
    </w:p>
    <w:p>
      <w:r>
        <w:t>-DI: gray or brown teeth, may appear translucent, wear down and break easily</w:t>
      </w:r>
    </w:p>
    <w:p>
      <w:r>
        <w:t xml:space="preserve">-Four types of COL1A1/2-related OI: </w:t>
      </w:r>
    </w:p>
    <w:p>
      <w:r>
        <w:t>-OI type I: classic non-deforming OI with blue sclerae</w:t>
      </w:r>
    </w:p>
    <w:p>
      <w:r>
        <w:t>-OI type II: perinatally lethal OI</w:t>
      </w:r>
    </w:p>
    <w:p>
      <w:r>
        <w:t>-OI type III: progressively deforming OI</w:t>
      </w:r>
    </w:p>
    <w:p>
      <w:r>
        <w:t>-OI type IV: common variable OI with normal sclerae</w:t>
      </w:r>
    </w:p>
    <w:p>
      <w:r>
        <w:t>Etiology</w:t>
      </w:r>
    </w:p>
    <w:p>
      <w:r>
        <w:t>-Prevalence of approximately 6-7:100,000</w:t>
      </w:r>
    </w:p>
    <w:p>
      <w:r>
        <w:t>Pathogenesis</w:t>
      </w:r>
    </w:p>
    <w:p>
      <w:r>
        <w:t>-Type I (diminished collagen production): most ind. with type I have premature STOP codon in one COL1A1 allele --&gt; half the normal quantity of type I procollagen molecules; some with SNVs --&gt; amino acid change is located in amino terminus (amino terminal changes tend to be less disruptive --&gt; collagen chain assembly can still initiate as usual at the carboxy terminus)</w:t>
      </w:r>
    </w:p>
    <w:p>
      <w:r>
        <w:t>-Types II, III, and IV (structurally defective collagens): mutations produce structurally abnormal proα1(I) or proα2(I) chains; mostly substitutions in triple helix that replace a glycine with a more bulky residue --&gt; disrupts formation of triple helix; ratio wt to mut collagen is 1:3 if proα1(I) is mutated and 1:1 if proα2(I) is mutated</w:t>
      </w:r>
    </w:p>
    <w:p>
      <w:r>
        <w:t>-Phenotype depends on: specific collagen affected, location of the substitution, nature of the substituting residue, but:</w:t>
      </w:r>
    </w:p>
    <w:p>
      <w:r>
        <w:t>--&gt; Substitutions in proα1(I) more in patients with OI types III and IV and more often lethal</w:t>
      </w:r>
    </w:p>
    <w:p>
      <w:r>
        <w:t>--&gt; Replacement of glycine (neutral) with charged (aspartic acid, glutamic acid, arginine) or large residue (tryptophan) --&gt; very disruptive and associated with severe (type II)</w:t>
      </w:r>
    </w:p>
    <w:p>
      <w:r>
        <w:t>Genetic testing/diagnosis</w:t>
      </w:r>
    </w:p>
    <w:p>
      <w:r>
        <w:t>-Diagnosis:</w:t>
      </w:r>
    </w:p>
    <w:p>
      <w:r>
        <w:t>1) Family history, a history of fractures, characteristic physical findings</w:t>
      </w:r>
    </w:p>
    <w:p>
      <w:r>
        <w:t>2) X-ray: fx of varying ages/stages of healing, wormian/intrasutural bones, "codfish" vertebrae, osteopenia)</w:t>
      </w:r>
    </w:p>
    <w:p>
      <w:r>
        <w:t>3) Molecular testing of COL1A1 and COL1A2 and/or biochemical analysis of type 1 collagen</w:t>
      </w:r>
    </w:p>
    <w:p>
      <w:r>
        <w:t xml:space="preserve">-Biochemical testing (i.e. analysis of structure and quantity of type I collagen synthesized in vitro by cultured dermal fibroblasts) </w:t>
      </w:r>
    </w:p>
    <w:p>
      <w:r>
        <w:t>-Suggested diagnostic work flow:</w:t>
      </w:r>
    </w:p>
    <w:p>
      <w:r>
        <w:t>1) Sequencing of COL1A1/2 (eventually follow-up studies to determine pathogenicity)</w:t>
      </w:r>
    </w:p>
    <w:p>
      <w:r>
        <w:t xml:space="preserve">2) Deletion/duplication analysis (detects additional 1%-2% of pathogenic variants) </w:t>
      </w:r>
    </w:p>
    <w:p>
      <w:r>
        <w:t>3) If no causative COL1A1/2 variant is found, re-review clinical data --&gt; proceed to screening for the non-COL1A1/2-related genetic disorders</w:t>
      </w:r>
    </w:p>
    <w:p>
      <w:r>
        <w:t>Others</w:t>
      </w:r>
    </w:p>
    <w:p>
      <w:r>
        <w:t>-Treatment: bisphosphonates (slow down bone resorption by shortening the life of osteoclasts and prolonging the life of the osteoblasts)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