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Phenylalanine Hydroxylase Deficiency</w:t>
      </w:r>
    </w:p>
    <w:p>
      <w:r>
        <w:t>Genetics</w:t>
      </w:r>
    </w:p>
    <w:p>
      <w:r>
        <w:t>-Gene: PAH (Phenylalanine hydroxylase; 12q23.2)</w:t>
      </w:r>
    </w:p>
    <w:p>
      <w:r>
        <w:t>-AR</w:t>
      </w:r>
    </w:p>
    <w:p>
      <w:r>
        <w:t>Clinical findings/Dysmorphic features</w:t>
      </w:r>
    </w:p>
    <w:p>
      <w:r>
        <w:t>-Intolerance to essential amino acid phenylalanine</w:t>
      </w:r>
    </w:p>
    <w:p>
      <w:r>
        <w:t>-Spectrum: most with severe PAH deficiency (classic PKU) develop profound and irreversible ID</w:t>
      </w:r>
    </w:p>
    <w:p>
      <w:r>
        <w:t>-PHE levels above normal but below 1200 μmol/L (20 mg/dL) are at much lower risk for impaired cognitive development in the absence of treatment</w:t>
      </w:r>
    </w:p>
    <w:p>
      <w:r>
        <w:t>-Clinical findings: epilepsy; ID and behavior problems including autistic features; Parkinson-like features; eczema; decreased skin and hair pigmentation</w:t>
      </w:r>
    </w:p>
    <w:p>
      <w:r>
        <w:t>-Progressive white matter disease on brain MRI (90% of individuals with PAH deficiency)</w:t>
      </w:r>
    </w:p>
    <w:p>
      <w:r>
        <w:t>-Musty body odor and mousy odor to urine (phenylacetic acid)</w:t>
      </w:r>
    </w:p>
    <w:p>
      <w:r>
        <w:t>Etiology</w:t>
      </w:r>
    </w:p>
    <w:p>
      <w:r>
        <w:t>-Frequency: 1:5,000 (Turkey, Ireland) to 1:10,000 (North European and East Asian)</w:t>
      </w:r>
    </w:p>
    <w:p>
      <w:r>
        <w:t>Pathogenesis</w:t>
      </w:r>
    </w:p>
    <w:p>
      <w:r>
        <w:t>-More than 900 different pathogenic variants in PAH have been identified to date</w:t>
      </w:r>
    </w:p>
    <w:p>
      <w:r>
        <w:t>Genetic testing/diagnosis</w:t>
      </w:r>
    </w:p>
    <w:p>
      <w:r>
        <w:t>-PAH deficiency detected by NBS in ~100%: presence of hyperphenylalaninemia using tandem mass spectrometry on a blood spot obtained from a heel stick</w:t>
      </w:r>
    </w:p>
    <w:p>
      <w:r>
        <w:t xml:space="preserve">-Diagnosis established in a proband with: </w:t>
      </w:r>
    </w:p>
    <w:p>
      <w:r>
        <w:t>1) Plasma PHE conc. persistently above 120 µmol/L (2 mg/dL) and altered Phe:Tyr-ratio (normal: &lt;1; &gt;3 is useful in the diagnosis of PAH deficiency) in untreated state with normal BH4 cofactor metabolism and/or</w:t>
      </w:r>
    </w:p>
    <w:p>
      <w:r>
        <w:t>2) Finding of biallelic pathogenic variants in PAH by molecular genetic testing</w:t>
      </w:r>
    </w:p>
    <w:p>
      <w:r>
        <w:t>-PAH: Seq 97-99%; InDel 1-3%</w:t>
      </w:r>
    </w:p>
    <w:p>
      <w:r>
        <w:t>Others</w:t>
      </w:r>
    </w:p>
    <w:p>
      <w:r>
        <w:t xml:space="preserve">-Treatment of classic PKU: </w:t>
      </w:r>
    </w:p>
    <w:p>
      <w:r>
        <w:t>--&gt; low-protein diet + PHE-free medical formula asap after birth (plasma PHE conc. of 120-360 µmol/L (2-6 mg/dL))</w:t>
      </w:r>
    </w:p>
    <w:p>
      <w:r>
        <w:t>--&gt; some benefit from adjuvant therapy with sapropterin (Kuvan, Tetrahydrobiopterin/BH4)</w:t>
      </w:r>
    </w:p>
    <w:p>
      <w:r>
        <w:t xml:space="preserve">--&gt; large neutral amino acid (LNAA) compete with PHE at blood brain barrier </w:t>
      </w:r>
    </w:p>
    <w:p>
      <w:r>
        <w:t>-Tetrahydrobiopterin (BH4) deficiency: hyperphenylalaninemia from impaired synthesis/ recycling of BH4 (cofactor in the PHE, TYR, TRP hydroxylation reactions)</w:t>
      </w:r>
    </w:p>
    <w:p>
      <w:r>
        <w:t>-Maternal PKU/PAH Deficiency: ID (90%), microcephaly (70%), CHD (12%), IUGR --&gt; maternal PHE conc. of 120-360 µmol/L during pregnancy is recommended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