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Propionic Acidemia</w:t>
      </w:r>
    </w:p>
    <w:p>
      <w:r>
        <w:t>Genetics</w:t>
      </w:r>
    </w:p>
    <w:p>
      <w:r>
        <w:t>-Genes: PCCA (Propionyl-CoA carboxylase alpha chain, mitochondrial; 13q32.3); PCCB (Propionyl-CoA carboxylase beta chain, mitochondrial; 3q22.3)</w:t>
      </w:r>
    </w:p>
    <w:p>
      <w:r>
        <w:t>-AR</w:t>
      </w:r>
    </w:p>
    <w:p>
      <w:r>
        <w:t>Clinical findings/Dysmorphic features</w:t>
      </w:r>
    </w:p>
    <w:p>
      <w:r>
        <w:t>-Spectrum: neonatal-onset to late-onset disease</w:t>
      </w:r>
    </w:p>
    <w:p>
      <w:r>
        <w:t xml:space="preserve">-Neonatal-onset (most common): healthy newborn with poor feeding and decreased arousal --&gt; progressive encephalopathy --&gt; w/o prompt diagnosis and management --&gt; lethargy, seizures, coma, death; frequently accompanied by metabolic acidosis with anion gap, lactic acidosis, ketonuria, hypoglycemia, hyperammonemia, cytopenias </w:t>
      </w:r>
    </w:p>
    <w:p>
      <w:r>
        <w:t>-Late-onset: can be asymptomatic; metabolic crisis under catabolic stress (ill, surgery, fasting)</w:t>
      </w:r>
    </w:p>
    <w:p>
      <w:r>
        <w:t>-Isolated cardiomyopathy in absence of metabolic decompensation or neurocognitive deficits</w:t>
      </w:r>
    </w:p>
    <w:p>
      <w:r>
        <w:t>-Manifestations over time: FTT, ID, seizures, basal ganglia lesions, pancreatitis, cardiomyopathy</w:t>
      </w:r>
    </w:p>
    <w:p>
      <w:r>
        <w:t>-Other reported complications: optic atrophy, HL, ovarian insufficiency, chronic renal failure</w:t>
      </w:r>
    </w:p>
    <w:p>
      <w:r>
        <w:t>Etiology</w:t>
      </w:r>
    </w:p>
    <w:p>
      <w:r>
        <w:t>-Live-birth incidence is 1:105,000-1:130,000 in the US</w:t>
      </w:r>
    </w:p>
    <w:p>
      <w:r>
        <w:t>Pathogenesis</w:t>
      </w:r>
    </w:p>
    <w:p>
      <w:r>
        <w:t>-Organic acidemia caused by deficiency of propionyl-CoA carboxylase (PCC), a biotin-dependent carboxylase located in mitochondrial inner space</w:t>
      </w:r>
    </w:p>
    <w:p>
      <w:r>
        <w:t>-PCC converts propionyl-CoA to D-methylmalonyl-CoA --&gt; enters Krebs cycle as succinyl-CoA</w:t>
      </w:r>
    </w:p>
    <w:p>
      <w:r>
        <w:t>-Propionyl-CoA is common to pathway for degradation of some amino acids (VOMIT: valine, odd-chain fatty acids, methionine, isoleucine, threonine) and cholesterol</w:t>
      </w:r>
    </w:p>
    <w:p>
      <w:r>
        <w:t>-Gut bacteria (i.e., Propionibacterium sp.) also produce propionate metabolized through PCC</w:t>
      </w:r>
    </w:p>
    <w:p>
      <w:r>
        <w:t>-Deficiency of PCC: --&gt; toxic effects of free organic acids and ammonia; --&gt; accumulation of propionyl-CoA (inhibits enzymes including oxidative phosphorylation --&gt; decreased energy production); --&gt; decreased production of Krebs cycle intermediates</w:t>
      </w:r>
    </w:p>
    <w:p>
      <w:r>
        <w:t>Genetic testing/diagnosis</w:t>
      </w:r>
    </w:p>
    <w:p>
      <w:r>
        <w:t>-Plasma acylcarnitine profile: elevated propionylcarnitine (C3)</w:t>
      </w:r>
    </w:p>
    <w:p>
      <w:r>
        <w:t>-UOA: elevated 3-hydroxypropionate; presence of: methylcitrate, propionylglycine, lactic acid</w:t>
      </w:r>
    </w:p>
    <w:p>
      <w:r>
        <w:t>-Plasma amino acids: elevated glycine</w:t>
      </w:r>
    </w:p>
    <w:p>
      <w:r>
        <w:t>-PCCA 50% of cases (Seq 78%; Del/Dup 18%); PCCB 50% of cases (Seq 97%; Del/Dup 3%)</w:t>
      </w:r>
    </w:p>
    <w:p>
      <w:r>
        <w:t>Others</w:t>
      </w:r>
    </w:p>
    <w:p>
      <w:r>
        <w:t xml:space="preserve">-NBS: acylcarnitine analysis by MS/MS on dried blood spots --&gt; elevated propionylcarnitine (C3); secondary markers: methionine, C3/C2, and C3/C16 ratios </w:t>
      </w:r>
    </w:p>
    <w:p>
      <w:r>
        <w:t>-Elevated C3 on NBS can be caused by methylmalonic acidemias resulting from methylmalonyl-CoA mutase deficiency/disorders of intracellular cobalamin metabolism/maternal B12 def.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