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Isolated Methylmalonic Acidemia</w:t>
      </w:r>
    </w:p>
    <w:p>
      <w:r>
        <w:t>Genetics</w:t>
      </w:r>
    </w:p>
    <w:p>
      <w:r>
        <w:t xml:space="preserve">-Genes: MMUT (methylmalonyl CoA mutase; 60%), MMAA (methylmalonic aciduria type A protein; 25%), MMAB (methylmalonic aciduria type B; 12%, MCEE (Methylmalonyl-CoA epimerase; unknown), MMADHC </w:t>
      </w:r>
    </w:p>
    <w:p>
      <w:r>
        <w:t>Clinical findings/Dysmorphic features</w:t>
      </w:r>
    </w:p>
    <w:p>
      <w:r>
        <w:t xml:space="preserve">-Complete or partial deficiency of: </w:t>
      </w:r>
    </w:p>
    <w:p>
      <w:r>
        <w:t>1) Methylmalonyl-CoA mutase</w:t>
      </w:r>
    </w:p>
    <w:p>
      <w:r>
        <w:t xml:space="preserve">2) Methylmalonyl-CoA epimerase </w:t>
      </w:r>
    </w:p>
    <w:p>
      <w:r>
        <w:t>3) Defect in transport/synthesis of its cofactor adenosyl-cobalamin (cblA, cblB, or cblD-MMA)</w:t>
      </w:r>
    </w:p>
    <w:p>
      <w:r>
        <w:t>-Onset: neonatal period to adulthood; periods of relative health and intermittent metabolic decompensation (associated with intercurrent infections and stress)</w:t>
      </w:r>
    </w:p>
    <w:p>
      <w:r>
        <w:t>-Secondary complications: ID (variable); tubulointerstitial nephritis with progressive renal failure; "metabolic stroke" (acute and chronic basal ganglia injury); pancreatitis; growth failure; functional immune impairment; optic nerve atrophy</w:t>
      </w:r>
    </w:p>
    <w:p>
      <w:r>
        <w:t>1) Neonatal period: lethargy, vomiting, hypotonia, hypothermia, respiratory distress, severe ketoacidosis, hyperammonemia, neutropenia, thrombocytopenia; untreated: death &lt; 4weeks</w:t>
      </w:r>
    </w:p>
    <w:p>
      <w:r>
        <w:t>2) Infantile/non-B12-responsive: normal at birth, but develop lethargy, vomiting, dehydration, FTT, hepatomegaly, hypotonia, encephalopathy within a few weeks to months of age</w:t>
      </w:r>
    </w:p>
    <w:p>
      <w:r>
        <w:t>3) Intermediate/B12-responsive: usually in first months or years of life; anorexia, FTT, hypotonia, DD; protein aversion and/or vomiting/lethargy after protein intake</w:t>
      </w:r>
    </w:p>
    <w:p>
      <w:r>
        <w:t>4) Atypical and "benign"/adult: increased, albeit mild, urinary excretion of methylmalonate</w:t>
      </w:r>
    </w:p>
    <w:p>
      <w:r>
        <w:t>Etiology</w:t>
      </w:r>
    </w:p>
    <w:p>
      <w:r>
        <w:t>-Approximately 1:80,000 newborns</w:t>
      </w:r>
    </w:p>
    <w:p>
      <w:r>
        <w:t>Pathogenesis</w:t>
      </w:r>
    </w:p>
    <w:p>
      <w:r>
        <w:t>-Failure to convert methylmalonyl-CoA into succinyl-CoA during propionyl-CoA metabolism in mt-matrix --&gt; elevated MMA in blood/urine, hypomethioninemia, or variations in other metabolites, such as malonic acid</w:t>
      </w:r>
    </w:p>
    <w:p>
      <w:r>
        <w:t>-Suggestive findings: normal B12; elevated propionylcarnitine (C3); hyperammonemia; hyperglycinemia; lactic acidosis; CBC showing neutropenia, thrombocytopenia, anemia</w:t>
      </w:r>
    </w:p>
    <w:p>
      <w:r>
        <w:t>Genetic testing/diagnosis</w:t>
      </w:r>
    </w:p>
    <w:p>
      <w:r>
        <w:t>-Diagnosis: organic acids in plasma and/or urine by gas-liquid chromatography and MS</w:t>
      </w:r>
    </w:p>
    <w:p>
      <w:r>
        <w:t>-Establishing the specific subtype: cellular biochemical studies (14C propionate incorporation, B12 responsiveness, complementation analysis, cobalamin distribution) and genetic testing</w:t>
      </w:r>
    </w:p>
    <w:p>
      <w:r>
        <w:t>-Biallelic pathogenic variants in one of the five genes (MMUT, MMAA, MMAB, MCEE, MMADHC) – with confirmation of carrier status in the parents – can establish the diagnosis</w:t>
      </w:r>
    </w:p>
    <w:p>
      <w:r>
        <w:t>Others</w:t>
      </w:r>
    </w:p>
    <w:p>
      <w:r>
        <w:t>-MUT form of MMA is unresponsive to vitamin B12 therapy</w:t>
      </w:r>
    </w:p>
    <w:p>
      <w:r>
        <w:t>-Elevated homocysteine in cbl C,D,F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