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GBL1-Related Disorders</w:t>
      </w:r>
    </w:p>
    <w:p>
      <w:r>
        <w:t>Genetics</w:t>
      </w:r>
    </w:p>
    <w:p>
      <w:r>
        <w:t>-Gene: GLB1 (β-galactosidase)</w:t>
      </w:r>
    </w:p>
    <w:p>
      <w:r>
        <w:t>-AR</w:t>
      </w:r>
    </w:p>
    <w:p>
      <w:r>
        <w:t>Clinical findings/Dysmorphic features</w:t>
      </w:r>
    </w:p>
    <w:p>
      <w:r>
        <w:t xml:space="preserve">-2 phenotypically distinct lysosomal storage disorders: </w:t>
      </w:r>
    </w:p>
    <w:p>
      <w:r>
        <w:t>1) GM1 gangliosidosis</w:t>
      </w:r>
    </w:p>
    <w:p>
      <w:r>
        <w:t>-Type I (infantile): onset &lt; 1 yr; progressive CNS dysfunction --&gt; spasticity, deafness, blindness, decerebrate rigidity; life expectancy 2-3 yrs; infants have macular cherry-red spots, DD, regression by 6mths, hepatosplenomegaly, cardiac involvement, coarse facial features, generalized skeletal dysplasia</w:t>
      </w:r>
    </w:p>
    <w:p>
      <w:r>
        <w:t>-Type II (late-infantile): onset 1-3 yrs, life expectancy 5-10 yrs</w:t>
      </w:r>
    </w:p>
    <w:p>
      <w:r>
        <w:t>-Type II (juvenile): onset 3-10 yrs; insidious plateauing of motor and cognitive development followed by slow regression; +/- skeletal dysplasia</w:t>
      </w:r>
    </w:p>
    <w:p>
      <w:r>
        <w:t>-Type III: onset 2nd - 3rddecade --&gt; extrapyramidal signs, gait disturbance, cardiomyopathy; similar to Parkinson; ID is common; short stature, kyphosis, and scoliosis of varying severity</w:t>
      </w:r>
    </w:p>
    <w:p>
      <w:r>
        <w:t>2) Mucopolysaccharidosis type IVB (MPS IVB, Morquio)</w:t>
      </w:r>
    </w:p>
    <w:p>
      <w:r>
        <w:t>-Skeletal changes, including short stature and skeletal dysplasia</w:t>
      </w:r>
    </w:p>
    <w:p>
      <w:r>
        <w:t>-No clinical sx at birth: severe form at 1-3 yrs, attenuated form in childhood or adolescence</w:t>
      </w:r>
    </w:p>
    <w:p>
      <w:r>
        <w:t>-Significant morbidity: respiratory compromise, obstructive sleep apnea, valvular heart disease, hearing impairment, corneal clouding, spinal cord compression</w:t>
      </w:r>
    </w:p>
    <w:p>
      <w:r>
        <w:t>-Intellect is normal unless spinal cord compression leads to CNS compromise</w:t>
      </w:r>
    </w:p>
    <w:p>
      <w:r>
        <w:t>Etiology</w:t>
      </w:r>
    </w:p>
    <w:p>
      <w:r>
        <w:t>-GM1 gangliosidosis: 1 in 100,000 to 200,000 newborns</w:t>
      </w:r>
    </w:p>
    <w:p>
      <w:r>
        <w:t>Pathogenesis</w:t>
      </w:r>
    </w:p>
    <w:p>
      <w:r>
        <w:t>-β-galactosidase activity: Type I ~0%; Type II 1-5%/3-10%; Type III 5-10%; MPS IVB 2-12%</w:t>
      </w:r>
    </w:p>
    <w:p>
      <w:r>
        <w:t>Genetic testing/diagnosis</w:t>
      </w:r>
    </w:p>
    <w:p>
      <w:r>
        <w:t>-Specific GAG pattern in urine is noted in persons with GM1 gangliosidosis</w:t>
      </w:r>
    </w:p>
    <w:p>
      <w:r>
        <w:t>-Keratan sulfate in urine can be diagnostic of MPS IV (does not diff. MPS IVA from MPS IVB)</w:t>
      </w:r>
    </w:p>
    <w:p>
      <w:r>
        <w:t>-GLB1: Seq 99%; InDel &lt;1%</w:t>
      </w:r>
    </w:p>
    <w:p>
      <w:r>
        <w:t>Others</w:t>
      </w:r>
    </w:p>
    <w:p>
      <w:r>
        <w:t>-GM2 gangliosidosis without skeletal changes or other non-CNS findings</w:t>
      </w:r>
    </w:p>
    <w:p>
      <w:r>
        <w:t>-MPS IVA is caused by pathogenic variants in GALNS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