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Glycogen Storage Disease Type II (Pompe Disease)</w:t>
      </w:r>
    </w:p>
    <w:p>
      <w:r>
        <w:t>Genetics</w:t>
      </w:r>
    </w:p>
    <w:p>
      <w:r>
        <w:t>-GAA (α –glucosidase)</w:t>
      </w:r>
    </w:p>
    <w:p>
      <w:r>
        <w:t>-AR</w:t>
      </w:r>
    </w:p>
    <w:p>
      <w:r>
        <w:t>Clinical findings/Dysmorphic features</w:t>
      </w:r>
    </w:p>
    <w:p>
      <w:r>
        <w:t>-Infantile-onset: Cardiomyopathy &lt;12 months; ~4 mths: hypotonia, muscle weakness, macroglossia, hepatomegaly, feeding difficulties, FTT, hypertrophic cardiomyopathy, HL</w:t>
      </w:r>
    </w:p>
    <w:p>
      <w:r>
        <w:t xml:space="preserve">-Late-onset (0-70 years): </w:t>
      </w:r>
    </w:p>
    <w:p>
      <w:r>
        <w:t>--&gt; onset &lt; age 12 months: proximal muscular weakness, delayed motor development, lordosis, kyphosis/scoliosis, respiratory insufficiency without cardiomyopathy</w:t>
      </w:r>
    </w:p>
    <w:p>
      <w:r>
        <w:t>--&gt; onset &gt; age 12 months: proximal muscle weakness and respiratory insufficiency; sleep disordered breathing, clinically significant cardiac involvement is uncommon</w:t>
      </w:r>
    </w:p>
    <w:p>
      <w:r>
        <w:t>Etiology</w:t>
      </w:r>
    </w:p>
    <w:p>
      <w:r>
        <w:t>-Incidence: African Americans 1:14,000, US 1:40,000, European 1:100,000</w:t>
      </w:r>
    </w:p>
    <w:p>
      <w:r>
        <w:t>Pathogenesis</w:t>
      </w:r>
    </w:p>
    <w:p>
      <w:r>
        <w:t>-α –glucosidase cleaves α 1,4 and α 1,6-glucosidic linkages during degradation of glycogen</w:t>
      </w:r>
    </w:p>
    <w:p>
      <w:r>
        <w:t>-Deficiency --&gt; abnl storage of nl glycogen in tissues (mainly skeletal, smooth, cardiac muscles)</w:t>
      </w:r>
    </w:p>
    <w:p>
      <w:r>
        <w:t>-α –glucosidase is located in the lysosomes (functions in acidic pH)</w:t>
      </w:r>
    </w:p>
    <w:p>
      <w:r>
        <w:t>Genetic testing/diagnosis</w:t>
      </w:r>
    </w:p>
    <w:p>
      <w:r>
        <w:t>-NBS: acid alpha-glucosidase (GAA) enzyme activity on dried blood spots</w:t>
      </w:r>
    </w:p>
    <w:p>
      <w:r>
        <w:t>-GAA activity in lymphocytes/cultured fibroblasts (&lt; 10% of normal)</w:t>
      </w:r>
    </w:p>
    <w:p>
      <w:r>
        <w:t>-Elevated creatine phosphokinase (CPK) (10x normal): (as high as 2000 IU/L; normal: 60-305 IU/L) – normal in late onset (also in DMD/BMD)</w:t>
      </w:r>
    </w:p>
    <w:p>
      <w:r>
        <w:t>-GAA: Seq 83-93%, InDel 5-13%; c.-32-13T&gt;G is most frequent pathogenic variant</w:t>
      </w:r>
    </w:p>
    <w:p>
      <w:r>
        <w:t>Others</w:t>
      </w:r>
    </w:p>
    <w:p>
      <w:r>
        <w:t>-ERT: Myozyme and Lumizyme are FDA approved (work well --&gt; live longer --&gt; HL)</w:t>
      </w:r>
    </w:p>
    <w:p>
      <w:r>
        <w:t>-Pseudodeficiency allele common in Asians; only GSD classified LSD; unlike other GSDs: not associated with hypoglycemia</w:t>
      </w:r>
    </w:p>
    <w:p>
      <w:r>
        <w:t>-6-mth-old boy with severe hypotonia, massive cardiomegaly, progressive weakness and markedly elevated CPK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