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Stickler Syndrome</w:t>
      </w:r>
    </w:p>
    <w:p>
      <w:r>
        <w:t>Genetics</w:t>
      </w:r>
    </w:p>
    <w:p>
      <w:r>
        <w:t>-Gene: COL2A1 (AD), COL11A1 (AD), COL11A2 (AD), COL9A1 (AR), COL9A2 (AR), COL9A3 (AR)</w:t>
      </w:r>
    </w:p>
    <w:p>
      <w:r>
        <w:t>Clinical findings/Dysmorphic features</w:t>
      </w:r>
    </w:p>
    <w:p>
      <w:r>
        <w:t>-Connective tissue disorder; ocular findings (myopia, cataract, retinal detachment); HL (conductive and sensorineural); midfacial underdevelopment and cleft palate (either alone or as part of the Robin sequence); mild spondyloepiphyseal dysplasia and/or precocious arthritis</w:t>
      </w:r>
    </w:p>
    <w:p>
      <w:r>
        <w:t>-Variable phenotypic expression both within and among families (locus/allelic heterogeneity)</w:t>
      </w:r>
    </w:p>
    <w:p>
      <w:r>
        <w:t>Etiology</w:t>
      </w:r>
    </w:p>
    <w:p>
      <w:r>
        <w:t>-Incidence among neonates is 1:7,500-1:9,000</w:t>
      </w:r>
    </w:p>
    <w:p>
      <w:r>
        <w:t>Pathogenesis</w:t>
      </w:r>
    </w:p>
    <w:p>
      <w:r>
        <w:t>-Haploinsufficiency of type II collagen --&gt; vestigial gel forms in the retrolental space</w:t>
      </w:r>
    </w:p>
    <w:p>
      <w:r>
        <w:t>Genetic testing/diagnosis</w:t>
      </w:r>
    </w:p>
    <w:p>
      <w:r>
        <w:t>-COL2A1 (80-90%): Seq 99%; COL11A1 (10-20%): Seq 99%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