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Tyrosinemia type I</w:t>
      </w:r>
    </w:p>
    <w:p>
      <w:r>
        <w:t>Genetics</w:t>
      </w:r>
    </w:p>
    <w:p>
      <w:r>
        <w:t>-Gene: FAH (fumarylacetoacetase)</w:t>
      </w:r>
    </w:p>
    <w:p>
      <w:r>
        <w:t>-AR</w:t>
      </w:r>
    </w:p>
    <w:p>
      <w:r>
        <w:t>Clinical findings/Dysmorphic features</w:t>
      </w:r>
    </w:p>
    <w:p>
      <w:r>
        <w:t>-Untreated: young infants with severe liver involvement or later in first year with liver dysfunction and renal tubular dysfunction, growth failure and rickets; repeated, often unrecognized, neurologic crises (1-7days) --&gt; change in mental status, abdominal pain, peripheral neuropathy, and/or respiratory failure; death &lt; 10y, typically from liver failure, neurologic crisis, or hepatocellular carcinoma</w:t>
      </w:r>
    </w:p>
    <w:p>
      <w:r>
        <w:t>Etiology</w:t>
      </w:r>
    </w:p>
    <w:p>
      <w:r>
        <w:t>-1 in 100,000; in general US population, carrier frequency is estimated at 1:100 to 1:150</w:t>
      </w:r>
    </w:p>
    <w:p>
      <w:r>
        <w:t>Pathogenesis</w:t>
      </w:r>
    </w:p>
    <w:p>
      <w:r>
        <w:t xml:space="preserve">-FAH is terminal enzyme in the tyrosine catabolic pathway; fumarylacetoacetate (FAA) is immediate precursor: </w:t>
      </w:r>
    </w:p>
    <w:p>
      <w:r>
        <w:t>--&gt; accumulates in hepatocytes, causing cellular damage and apoptosis</w:t>
      </w:r>
    </w:p>
    <w:p>
      <w:r>
        <w:t>--&gt; is diverted into succinylacetoacetate and succinylacetone</w:t>
      </w:r>
    </w:p>
    <w:p>
      <w:r>
        <w:t xml:space="preserve">--&gt; succinylacetone interferes with activity of 2 major hepatic enzymes: </w:t>
      </w:r>
    </w:p>
    <w:p>
      <w:r>
        <w:t>1) parahydroxyphenylpyruvic acid dioxygenase (p-HPPD) --&gt; elevation of plasma tyrosine</w:t>
      </w:r>
    </w:p>
    <w:p>
      <w:r>
        <w:t>2) PBG synthase --&gt; reduced activity of the enzyme δ-ALA dehydratase; reduced heme synthesis; increased δ-aminolevulinic acid (δ-ALA; induces acute neurologic episodes; increased urinary excretion of δ-ALA (see AIP))</w:t>
      </w:r>
    </w:p>
    <w:p>
      <w:r>
        <w:t>Genetic testing/diagnosis</w:t>
      </w:r>
    </w:p>
    <w:p>
      <w:r>
        <w:t>-NBS: presence of succinylacetone (MS/MS): pathognomonic for tyrosinemia type 1</w:t>
      </w:r>
    </w:p>
    <w:p>
      <w:r>
        <w:t>-Supportive findings: increased succinylacetone in blood and excretion in urine; elevated plasma concentration of tyrosine, methionine, phenylalanine</w:t>
      </w:r>
    </w:p>
    <w:p>
      <w:r>
        <w:t>-FAH seq: &gt;95%, In/Del: unknown; targeted p.Pro261Leu first in AJ (&gt; 99% of pathogenic variants in this population); c.1062+5G&gt;A (IVS12+5 G&gt;A) accounts for 87.9% of variants in French-Canadian population; 4 FAH variants (c.1062+5G&gt;A (IVS12+5 G&gt;A), c.554-1G&gt;T (IVS6-1 G&gt;T), c.607-6T&gt;G (IVS7-6 T&gt;G), p.Pro261Leu) account for ~60% of variants in US population</w:t>
      </w:r>
    </w:p>
    <w:p>
      <w:r>
        <w:t>Others</w:t>
      </w:r>
    </w:p>
    <w:p>
      <w:r>
        <w:t xml:space="preserve">-Treatment: </w:t>
      </w:r>
    </w:p>
    <w:p>
      <w:r>
        <w:t xml:space="preserve">1) Nitisinone/NTBC (blocks p-HPPD; second step in the tyrosine degradation pathway) --&gt; prevents accumulation of fumarylacetoacetate and its conversion to succinylacetone </w:t>
      </w:r>
    </w:p>
    <w:p>
      <w:r>
        <w:t>2) Low-tyrosine diet --&gt; &gt; 90% survival rate, normal growth, improved liver function, prevention of cirrhosis, correction of renal tubular acidosis, improvement in secondary rickets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