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Glutaric acidemia Type I</w:t>
      </w:r>
    </w:p>
    <w:p>
      <w:r>
        <w:t>Genetics</w:t>
      </w:r>
    </w:p>
    <w:p>
      <w:r>
        <w:t>-Gene: GCDH (glutaryl-CoA dehydrogenase; 19p13.13)</w:t>
      </w:r>
    </w:p>
    <w:p>
      <w:r>
        <w:t>-AR</w:t>
      </w:r>
    </w:p>
    <w:p>
      <w:r>
        <w:t>Clinical findings/Dysmorphic features</w:t>
      </w:r>
    </w:p>
    <w:p>
      <w:r>
        <w:t>-Macrocephaly at birth (75%); acute encephalopathic episodes (i.e. illness); sudden onset of hypotonia and severe movement disorders (choreoathetotic movements) following an acute episode of dystonia</w:t>
      </w:r>
    </w:p>
    <w:p>
      <w:r>
        <w:t>-Relatively normal development if treated</w:t>
      </w:r>
    </w:p>
    <w:p>
      <w:r>
        <w:t>Etiology</w:t>
      </w:r>
    </w:p>
    <w:p>
      <w:r>
        <w:t>-Prevalence: 1 in 100,000</w:t>
      </w:r>
    </w:p>
    <w:p>
      <w:r>
        <w:t>-Prevalence in Amish: 1 in 300</w:t>
      </w:r>
    </w:p>
    <w:p>
      <w:r>
        <w:t>Pathogenesis</w:t>
      </w:r>
    </w:p>
    <w:p>
      <w:r>
        <w:t>-Deficiency in glutaryl-CoA dehydrogenase: lysine/tryptophan metabolism (in mt matrix)</w:t>
      </w:r>
    </w:p>
    <w:p>
      <w:r>
        <w:t>-Converts glutaryl-CoA to crotonyl-CoA --&gt; impaired break down of amino acids lysine, hydroxylysine, tryptophan</w:t>
      </w:r>
    </w:p>
    <w:p>
      <w:r>
        <w:t>-Accumulating glutaryl-CoA is metabolized to 3-hydroxyglutaric acid and glutaconic acid</w:t>
      </w:r>
    </w:p>
    <w:p>
      <w:r>
        <w:t>-Excessive levels of these amino acids/intermediates cause damage to brain (basal ganglia)</w:t>
      </w:r>
    </w:p>
    <w:p>
      <w:r>
        <w:t>Genetic testing/diagnosis</w:t>
      </w:r>
    </w:p>
    <w:p>
      <w:r>
        <w:t>-Elevated glutaric acid, 3-hydroxyglutaric acid, glutaconic acid, glutarylcarnitine --&gt; detected by gas chromatography/MS (organic acids) or tandem MS (acylcarnitines)</w:t>
      </w:r>
    </w:p>
    <w:p>
      <w:r>
        <w:t>-C5DC level is increased</w:t>
      </w:r>
    </w:p>
    <w:p>
      <w:r>
        <w:t>Others</w:t>
      </w:r>
    </w:p>
    <w:p>
      <w:r>
        <w:t>-Sarah’s painting Ruthie’s prayer</w:t>
      </w:r>
    </w:p>
    <w:p>
      <w:r>
        <w:t>-Bleeding in brain or eyes --&gt; mimics non-accidental trauma/child abuse</w:t>
      </w:r>
    </w:p>
    <w:p>
      <w:r>
        <w:t xml:space="preserve">-Treatment: </w:t>
      </w:r>
    </w:p>
    <w:p>
      <w:r>
        <w:t xml:space="preserve">During crisis: prevent or reverse catabolic state --&gt; high-energy intake (plus insulin in case of hyperglycemia); reduce production of neurotoxic GA and 3-OH-GA by decrease/omitting natural protein for 24 −48h; prevent secondary carnitine depletion by carnitine suppl. </w:t>
      </w:r>
    </w:p>
    <w:p>
      <w:r>
        <w:t>Long-Term: reduce accumulation of toxic agent glutaric acid; low protein diet which specifically restricts lysine and tryptophan; alternatively, they can be put on a lysine free diet with tryptophan supplements for protein biosynthesis; patients are also given carnitine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