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Pallister-Killian mosaic syndrome</w:t>
      </w:r>
    </w:p>
    <w:p>
      <w:r>
        <w:t>Genetics</w:t>
      </w:r>
    </w:p>
    <w:p>
      <w:r>
        <w:t>-Isochromosome 12p or i(12p)</w:t>
      </w:r>
    </w:p>
    <w:p>
      <w:r>
        <w:t>-100% de novo</w:t>
      </w:r>
    </w:p>
    <w:p>
      <w:r>
        <w:t>Clinical findings/Dysmorphic features</w:t>
      </w:r>
    </w:p>
    <w:p>
      <w:r>
        <w:t>-Hypotonia in infancy and early childhood; ID</w:t>
      </w:r>
    </w:p>
    <w:p>
      <w:r>
        <w:t>-Sparse scalp hair; high forehead; coarse face; widely spaced eyes; broad nasal bridge; highly arched palate; epicanthal fold; large, low-set ears with thick and outwards-protrude lobes</w:t>
      </w:r>
    </w:p>
    <w:p>
      <w:r>
        <w:t>-Hypopigmented streaks of skin; extra nipples; seizures; droopy upper eyelids, crossed eyes (strabismus); joint contractures; cognitive delays; heart defects; rounded cheeks; wide mouth with thin upper lip and a large tongue</w:t>
      </w:r>
    </w:p>
    <w:p>
      <w:r>
        <w:t>Etiology</w:t>
      </w:r>
    </w:p>
    <w:p>
      <w:r>
        <w:t>-150 cases reported</w:t>
      </w:r>
    </w:p>
    <w:p>
      <w:r>
        <w:t>Pathogenesis</w:t>
      </w:r>
    </w:p>
    <w:p>
      <w:r>
        <w:t>-Some cells with isochromosome 12p --&gt; four copies of all genes on p arm of chromosome 12</w:t>
      </w:r>
    </w:p>
    <w:p>
      <w:r>
        <w:t>Genetic testing/diagnosis</w:t>
      </w:r>
    </w:p>
    <w:p>
      <w:r>
        <w:t>-Karyotype/FISH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