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Nevoid basal cell carcinoma syndrome (Gorlin syndrome)</w:t>
      </w:r>
    </w:p>
    <w:p>
      <w:r>
        <w:t>Genetics</w:t>
      </w:r>
    </w:p>
    <w:p>
      <w:r>
        <w:t>-PTCH1 (Protein patched homolog 1; 9q22.32); SUFU (Suppressor of fused homolog; 10q24.32)</w:t>
      </w:r>
    </w:p>
    <w:p>
      <w:r>
        <w:t>-AD; 70-80% inherited</w:t>
      </w:r>
    </w:p>
    <w:p>
      <w:r>
        <w:t>Clinical findings/Dysmorphic features</w:t>
      </w:r>
    </w:p>
    <w:p>
      <w:r>
        <w:t>-Formation of multiple jaw keratocysts (2nd decade) and/or basal cell carcinomas (3rd decade)</w:t>
      </w:r>
    </w:p>
    <w:p>
      <w:r>
        <w:t>-60% with macrocephaly, frontal bossing, coarse facial features, facial milia (keratin-filled cysts)</w:t>
      </w:r>
    </w:p>
    <w:p>
      <w:r>
        <w:t>-Most with skeletal anomalies (e.g., bifid ribs, wedge-shaped vertebrae)</w:t>
      </w:r>
    </w:p>
    <w:p>
      <w:r>
        <w:t>-Ectopic calcification (falx cerebri) in &gt; 90% of affected individuals by 20 years</w:t>
      </w:r>
    </w:p>
    <w:p>
      <w:r>
        <w:t xml:space="preserve">-Cardiac (2%) and ovarian (20%) fibromas; ~5% of affected children develop medulloblastoma (primitive neuroectodermal tumor; risk higher in ind. with SUFU variant (33%) vs. PTCH1 (&lt;2%)). </w:t>
      </w:r>
    </w:p>
    <w:p>
      <w:r>
        <w:t>Etiology</w:t>
      </w:r>
    </w:p>
    <w:p>
      <w:r>
        <w:t>-Prevalence approx. 1:57,000</w:t>
      </w:r>
    </w:p>
    <w:p>
      <w:r>
        <w:t>Pathogenesis</w:t>
      </w:r>
    </w:p>
    <w:p>
      <w:r>
        <w:t>-PTCH1 is membrane protein with 12 transmembrane regions, 2 extracellular loops, and putative sterol-sensing domain --&gt; functions as SHH receptor --&gt; represses signaling activity of the co-receptor smoothened --&gt; in complex with SHH, protein patched homolog 1 is not a repressor --&gt; signaling happens</w:t>
      </w:r>
    </w:p>
    <w:p>
      <w:r>
        <w:t>-Pathogenic variants result in a truncated protein and missense variants --&gt; LoF</w:t>
      </w:r>
    </w:p>
    <w:p>
      <w:r>
        <w:t>-SUFU protein --&gt; negative regulator in SHH pathway --&gt; heterozygous LoF variants cause NBCCS</w:t>
      </w:r>
    </w:p>
    <w:p>
      <w:r>
        <w:t>Genetic testing/diagnosis</w:t>
      </w:r>
    </w:p>
    <w:p>
      <w:r>
        <w:t>-PTCH1: Seq 50-85%; InDel 6-21%; SUFU: Seq 5%; InDel 1%; Unknown: 15-27%</w:t>
      </w:r>
    </w:p>
    <w:p>
      <w:r>
        <w:t>Others</w:t>
      </w:r>
    </w:p>
    <w:p>
      <w:r>
        <w:t>-Life expectancy in NBCCS is not significantly different from average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