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MELAS (mitochondrial encephalomyopathy, lactic acidosis, and stroke-like episodes)</w:t>
      </w:r>
    </w:p>
    <w:p>
      <w:r>
        <w:t>Genetics</w:t>
      </w:r>
    </w:p>
    <w:p>
      <w:r>
        <w:t>-Genes: MT-TL1 (&gt;80%); MT-ND5 (&lt;10%)</w:t>
      </w:r>
    </w:p>
    <w:p>
      <w:r>
        <w:t>-Maternal inheritance</w:t>
      </w:r>
    </w:p>
    <w:p>
      <w:r>
        <w:t>Clinical findings/Dysmorphic features</w:t>
      </w:r>
    </w:p>
    <w:p>
      <w:r>
        <w:t>-Multisystem disorder; onset between 2 and 40y</w:t>
      </w:r>
    </w:p>
    <w:p>
      <w:r>
        <w:t>-Manifestations: stroke-like episodes; encephalopathy with seizures/dementia; muscle weakness; exercise intolerance; headaches; vomiting; hearing impairment; peripheral neuropathy; LD; short stature</w:t>
      </w:r>
    </w:p>
    <w:p>
      <w:r>
        <w:t>-During stroke-like episodes: increased T2-weighted signal areas that do not correspond to the classic vascular distribution (hence: "stroke-like")</w:t>
      </w:r>
    </w:p>
    <w:p>
      <w:r>
        <w:t>-Lactic acidemia is very common and muscle biopsies typically show ragged red fibers</w:t>
      </w:r>
    </w:p>
    <w:p>
      <w:r>
        <w:t>Etiology</w:t>
      </w:r>
    </w:p>
    <w:p>
      <w:r>
        <w:t>-Prevalence estimated to be 0.2:100,000 in Japan</w:t>
      </w:r>
    </w:p>
    <w:p>
      <w:r>
        <w:t>-Prevalence of m.3243A&gt;G estimated to be 16:100,000–18:100,000 in Finland</w:t>
      </w:r>
    </w:p>
    <w:p>
      <w:r>
        <w:t>Pathogenesis</w:t>
      </w:r>
    </w:p>
    <w:p>
      <w:r>
        <w:t>-11 mt-tRNAs (mainly MT-TL1) involved in MELAS --&gt; impaired mitochondrial protein synthesis</w:t>
      </w:r>
    </w:p>
    <w:p>
      <w:r>
        <w:t>-6 protein-encoding genes also involved in MELAS (i.e. MT-ND1, NADH dehydrogenase subunit 1 and MT-ND5, NADH dehydrogenase subunit 5) --&gt; pathogenic variants in ETC structural subunits result in impaired ATP synthesis via oxidative phosphorylation</w:t>
      </w:r>
    </w:p>
    <w:p>
      <w:r>
        <w:t>Genetic testing/diagnosis</w:t>
      </w:r>
    </w:p>
    <w:p>
      <w:r>
        <w:t xml:space="preserve">-Diagnosis based on clinical diagnostic criteria and identifying a pathogenic variant </w:t>
      </w:r>
    </w:p>
    <w:p>
      <w:r>
        <w:t xml:space="preserve">-Blood leukocyte DNA is initially tested for m.3243A&gt;G in MT-TL1 (present in ~ 80% of individuals with typical clinical findings) --&gt; if normal, targeted testing for pathogenic variants m.3271T&gt;C and m.3252A&gt;G in MT-TL1 and m.13513G&gt;A in MT-ND5 </w:t>
      </w:r>
    </w:p>
    <w:p>
      <w:r>
        <w:t>Others</w:t>
      </w:r>
    </w:p>
    <w:p>
      <w:r>
        <w:t>-mtDNA encodes 22 tRNAs</w:t>
      </w:r>
    </w:p>
    <w:p>
      <w:r>
        <w:t>-During acute stroke-like episode --&gt; intravenous arginine within three hours, followed by intravenous arginine as a continuous infusion over 24 hours for the next three to five days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