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Mitochondrial DNA-Associated Leigh Syndrome and NARP</w:t>
      </w:r>
    </w:p>
    <w:p>
      <w:r>
        <w:t>Genetics</w:t>
      </w:r>
    </w:p>
    <w:p>
      <w:r>
        <w:t>-Genes: MT-ATP6 (~50% Leigh syndrome; &gt;50% NARP); MT-ND5; MT-ND3; MT-ND6</w:t>
      </w:r>
    </w:p>
    <w:p>
      <w:r>
        <w:t>-If nuclear: mostly AR</w:t>
      </w:r>
    </w:p>
    <w:p>
      <w:r>
        <w:t>Clinical findings/Dysmorphic features</w:t>
      </w:r>
    </w:p>
    <w:p>
      <w:r>
        <w:t>-Spectrum: progressive neurodegenerative disorders due to anomalies of mt energy generation</w:t>
      </w:r>
    </w:p>
    <w:p>
      <w:r>
        <w:t>-Leigh syndrome: onset between 3 and 12mths (often following viral infection); decompensation (often with elevated lactate levels in blood/CSF) during an intercurrent illness --&gt; psychomotor retardation/regression; neurologic features include hypotonia, spasticity, movement disorders (including chorea), cerebellar ataxia, peripheral neuropathy, basal ganglia + brainstem MRI abnormalities in Leigh syndrome; extraneurologic manifestations may include hypertrophic cardiomyopathy; 50% of affected individuals die by 3 years (respiratory or cardiac failure)</w:t>
      </w:r>
    </w:p>
    <w:p>
      <w:r>
        <w:t>-NARP (neurogenic muscle weakness, ataxia, and retinitis pigmentosa): proximal neurogenic muscle weakness with sensory neuropathy, ataxia, pigmentary retinopathy; onset of symptoms, particularly ataxia and learning difficulties, often in early childhood; can be stable for years, but may suffer episodic deterioration (associated with viral illness)</w:t>
      </w:r>
    </w:p>
    <w:p>
      <w:r>
        <w:t>Etiology</w:t>
      </w:r>
    </w:p>
    <w:p>
      <w:r>
        <w:t>-Prevalence is likely to be 1:30,000 to 1:40,000; no data on prevalence of NARP</w:t>
      </w:r>
    </w:p>
    <w:p>
      <w:r>
        <w:t>Pathogenesis</w:t>
      </w:r>
    </w:p>
    <w:p>
      <w:r>
        <w:t>-Caused by mutations in more than 75 different genes; most in nuclear DNA, some in mtDNA</w:t>
      </w:r>
    </w:p>
    <w:p>
      <w:r>
        <w:t>-Pathogenic variants fall into 2 classes: 1) tRNA --&gt; decreased mitochondrial protein synthesis; 2) Protein-coding mtDNA genes --&gt; decreased activity of respiratory chain complex</w:t>
      </w:r>
    </w:p>
    <w:p>
      <w:r>
        <w:t>-m.8993T&gt;G, p.Leu156Arg in subunit 6 of the mt ATP synthase --&gt; ATP synthase (or complex V) uses the proton gradient generated by respiratory chain complexes I to IV to drive ATP synthesis --&gt; impaired proton translocation and inhibition of ATP synthesis</w:t>
      </w:r>
    </w:p>
    <w:p>
      <w:r>
        <w:t>Genetic testing/diagnosis</w:t>
      </w:r>
    </w:p>
    <w:p>
      <w:r>
        <w:t>-Diagnosis: progressive neurologic disease with motor and intellectual DD, signs of brain stem/basal ganglia disease, raised lactate in blood/CSF, and any one of the following:</w:t>
      </w:r>
    </w:p>
    <w:p>
      <w:r>
        <w:t>--&gt; Characteristic features on brain imaging/typical neuropathologic changes/typical neuropathology in a similarly affected sibling</w:t>
      </w:r>
    </w:p>
    <w:p>
      <w:r>
        <w:t>-Identification of a pathogenic variant in one of 14 mitochondrial genes confirms diagnosis: targeted seq 2 common MT-ATP6 variants, concurrently with del/dup on leukocyte DNA --&gt; mt genome sequencing next</w:t>
      </w:r>
    </w:p>
    <w:p>
      <w:r>
        <w:t>-MT-ATP6: Seq 95%; InDel 5%; most common: m.8993T&gt;G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