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Ehlers-Danlos syndrome hypermobility (type III)</w:t>
      </w:r>
    </w:p>
    <w:p>
      <w:r>
        <w:t>Genetics</w:t>
      </w:r>
    </w:p>
    <w:p>
      <w:r>
        <w:t>-Genes unknown</w:t>
      </w:r>
    </w:p>
    <w:p>
      <w:r>
        <w:t>-AD</w:t>
      </w:r>
    </w:p>
    <w:p>
      <w:r>
        <w:t>Clinical findings/Dysmorphic features</w:t>
      </w:r>
    </w:p>
    <w:p>
      <w:r>
        <w:t>-Joint hypermobility; recurrent joint dislocation/subluxation; chronic joint or limb pain</w:t>
      </w:r>
    </w:p>
    <w:p>
      <w:r>
        <w:t>-Soft or velvety skin with normal/slightly increased elasticity --&gt; Absence of skin or soft tissue fragility (vs. cEDS)</w:t>
      </w:r>
    </w:p>
    <w:p>
      <w:r>
        <w:t>-Easy bruising, high narrow palate, dental crowding, and low bone density</w:t>
      </w:r>
    </w:p>
    <w:p>
      <w:r>
        <w:t>Etiology</w:t>
      </w:r>
    </w:p>
    <w:p>
      <w:r>
        <w:t>-Prevalence estimates ranging between 1:5,000 and 1:20,000</w:t>
      </w:r>
    </w:p>
    <w:p>
      <w:r>
        <w:t>Pathogenesis</w:t>
      </w:r>
    </w:p>
    <w:p>
      <w:r>
        <w:t>-Abnormal dermal elastic fibers</w:t>
      </w:r>
    </w:p>
    <w:p>
      <w:r>
        <w:t>Genetic testing/diagnosis</w:t>
      </w:r>
    </w:p>
    <w:p>
      <w:r>
        <w:t>-No biochemical or genetic tests clinically available</w:t>
      </w:r>
    </w:p>
    <w:p>
      <w:r>
        <w:t>Others</w:t>
      </w:r>
    </w:p>
    <w:p>
      <w:r>
        <w:t>-Least severe type of EDS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