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Hypophosphatasia</w:t>
      </w:r>
    </w:p>
    <w:p>
      <w:r>
        <w:t>Genetics</w:t>
      </w:r>
    </w:p>
    <w:p>
      <w:r>
        <w:t>-Gene: ALPL (Alkaline phosphatase, tissue-nonspecific isozyme; 1p36.12)</w:t>
      </w:r>
    </w:p>
    <w:p>
      <w:r>
        <w:t>-AR; milder forms, i.e. odontohypophosphatasia, may be AR or AD</w:t>
      </w:r>
    </w:p>
    <w:p>
      <w:r>
        <w:t>Clinical findings/Dysmorphic features</w:t>
      </w:r>
    </w:p>
    <w:p>
      <w:r>
        <w:t>-Defective mineralization of bone/teeth due to low activity of bone alkaline phosphatase</w:t>
      </w:r>
    </w:p>
    <w:p>
      <w:r>
        <w:t>-Continuum: stillbirth w/o mineralized bone - pathologic fractures of extremities in adulthood</w:t>
      </w:r>
    </w:p>
    <w:p>
      <w:r>
        <w:t>-Six clinical forms: 1) Perinatal (severe): respiratory insufficiency and hypercalcemia; 2) Perinatal (benign): prenatal skeletal manifestations resolve into milder form; 3) Infantile: onset between birth and age 3mths of rickets without elevated serum alkaline phosphatase activity; 4) Childhood (juvenile): ranges from low bone mineral density for age with unexplained fractures to rickets and premature loss of primary teeth with intact roots; 5) Adult: stress fractures/pseudofractures of lower extremities in middle age; 6) Odontohypophosphatasia: premature exfoliation of primary teeth and/or severe caries without skeletal manifestations</w:t>
      </w:r>
    </w:p>
    <w:p>
      <w:r>
        <w:t>Etiology</w:t>
      </w:r>
    </w:p>
    <w:p>
      <w:r>
        <w:t>-Prevalence of severe forms has been estimated at 1:300,000 in Europe</w:t>
      </w:r>
    </w:p>
    <w:p>
      <w:r>
        <w:t>Pathogenesis</w:t>
      </w:r>
    </w:p>
    <w:p>
      <w:r>
        <w:t>-Alkaline phosphatase, tissue-nonspecific isozyme (TNSALP): isozyme present in liver, kidney, bone --&gt; acts as a (lipid) membrane-bound ectophosphatase with PPi, PLP, and PEA as natural substrates; pathogenic variants are LoF</w:t>
      </w:r>
    </w:p>
    <w:p>
      <w:r>
        <w:t>Genetic testing/diagnosis</w:t>
      </w:r>
    </w:p>
    <w:p>
      <w:r>
        <w:t xml:space="preserve">-All forms with reduced activity of unfractionated serum alkaline phosphatase (ALP) </w:t>
      </w:r>
    </w:p>
    <w:p>
      <w:r>
        <w:t>-Presence of one or two pathogenic variants in ALPL; ALPL-Seq: 95%; In/Del unknown</w:t>
      </w:r>
    </w:p>
    <w:p>
      <w:r>
        <w:t>Others</w:t>
      </w:r>
    </w:p>
    <w:p>
      <w:r>
        <w:t>-Biphosphonates contraindicated --&gt; phosphate motifs in bisphosphonates have similar conformation to inorganic pyrophosphate (PPi), the natural substrate of TNSALP --&gt; treatment with bisphosphonates is thought to be analogous to "adding fuel to the fire”</w:t>
      </w:r>
    </w:p>
    <w:p>
      <w:r>
        <w:t xml:space="preserve">-Excess vitamin D can exacerbate hypercalcemia/hypercalciuria </w:t>
      </w:r>
    </w:p>
    <w:p>
      <w:r>
        <w:t>-Craniosynostosis is often found in the perinatal or infantile 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