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Ehlers-Danlos syndrome kyphoscoliotic (type VI)</w:t>
      </w:r>
    </w:p>
    <w:p>
      <w:r>
        <w:t>Genetics</w:t>
      </w:r>
    </w:p>
    <w:p>
      <w:r>
        <w:t>-PLOD1 (Procollagen-lysine,2-oxoglutarate 5-dioxygenase 1)</w:t>
      </w:r>
    </w:p>
    <w:p>
      <w:r>
        <w:t>-AR; penetrance 100%</w:t>
      </w:r>
    </w:p>
    <w:p>
      <w:r>
        <w:t>Clinical findings/Dysmorphic features</w:t>
      </w:r>
    </w:p>
    <w:p>
      <w:r>
        <w:t>-Major criteria: congenital muscular hypotonia (--&gt; progressive or non-progressive congenital or early-onset kyphoscoliosis), GJH with dislocations/subluxations (shoulders, hips, knees)</w:t>
      </w:r>
    </w:p>
    <w:p>
      <w:r>
        <w:t>-Minor criteria: skin hyperextensibility, skin fragility (easy bruising, friable skin, poor wound healing, widened atrophic scarring), rupture/aneurysm of a medium-sized arteries, osteopenia/osteoporosis, blue sclerae, scleral/ocular fragility/rupture, pectus deformity, marfanoid habitus</w:t>
      </w:r>
    </w:p>
    <w:p>
      <w:r>
        <w:t>-Life span may be normal, but risk for rupture of medium-sized arteries</w:t>
      </w:r>
    </w:p>
    <w:p>
      <w:r>
        <w:t>Etiology</w:t>
      </w:r>
    </w:p>
    <w:p>
      <w:r>
        <w:t>-Disease incidence of approximately 1:100,000 live births</w:t>
      </w:r>
    </w:p>
    <w:p>
      <w:r>
        <w:t>Pathogenesis</w:t>
      </w:r>
    </w:p>
    <w:p>
      <w:r>
        <w:t>-Enzyme deficiency leads to deficiency in hydroxylysine-based pyridinoline crosslinks in types I and III collagen</w:t>
      </w:r>
    </w:p>
    <w:p>
      <w:r>
        <w:t>Genetic testing/diagnosis</w:t>
      </w:r>
    </w:p>
    <w:p>
      <w:r>
        <w:t>-Sequencing of PLOD1 (67%), PLOD1 deletion/duplication analysis (33%)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