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Loeys-Dietz Syndrome (LDS)</w:t>
      </w:r>
    </w:p>
    <w:p>
      <w:r>
        <w:t>Genetics</w:t>
      </w:r>
    </w:p>
    <w:p>
      <w:r>
        <w:t>-TGFBR2 (55-60%), TGFBR1 (20-25%), TGFB2 (5-10%), SMAD3 (5-10%), SMAD2 (1-5%), TGFB3 (1-5%), deletions and duplications are rare</w:t>
      </w:r>
    </w:p>
    <w:p>
      <w:r>
        <w:t>-AD</w:t>
      </w:r>
    </w:p>
    <w:p>
      <w:r>
        <w:t>Clinical findings/Dysmorphic features</w:t>
      </w:r>
    </w:p>
    <w:p>
      <w:r>
        <w:t>-Vascular findings: cerebral, thoracic, abdominal arterial aneurysms and/or dissections</w:t>
      </w:r>
    </w:p>
    <w:p>
      <w:r>
        <w:t>-Skeletal manifestations: pectus excavatum or pectus carinatum, scoliosis, joint laxity, arachnodactyly, talipes equinovarus (clubfoot)</w:t>
      </w:r>
    </w:p>
    <w:p>
      <w:r>
        <w:t>-75% have LDS type I with craniofacial manifestations (ocular hypertelorism, bifid uvula/cleft palate, craniosynostosis)</w:t>
      </w:r>
    </w:p>
    <w:p>
      <w:r>
        <w:t>-25% have LDS type II with cutaneous manifestations (velvety and translucent skin; easy bruising; widened, atrophic scars)</w:t>
      </w:r>
    </w:p>
    <w:p>
      <w:r>
        <w:t>Etiology</w:t>
      </w:r>
    </w:p>
    <w:p>
      <w:r>
        <w:t>-Not known</w:t>
      </w:r>
    </w:p>
    <w:p>
      <w:r>
        <w:t>Pathogenesis</w:t>
      </w:r>
    </w:p>
    <w:p>
      <w:r>
        <w:t>-Increased TGFβ signaling in the vasculature of persons with LDS</w:t>
      </w:r>
    </w:p>
    <w:p>
      <w:r>
        <w:t>-SMAD3, TGFB2, TGFB3 --&gt; predicted loss of function variants somehow still increase TGFβ-signaling in aortic walls of affected individuals</w:t>
      </w:r>
    </w:p>
    <w:p>
      <w:r>
        <w:t>Genetic testing/diagnosis</w:t>
      </w:r>
    </w:p>
    <w:p>
      <w:r>
        <w:t>-Gene Panel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