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Androgen insensitivity syndrome (Testicular feminization)</w:t>
      </w:r>
    </w:p>
    <w:p>
      <w:r>
        <w:t>Genetics</w:t>
      </w:r>
    </w:p>
    <w:p>
      <w:r>
        <w:t>-AR (Androgen receptor; Xq11-q12)</w:t>
      </w:r>
    </w:p>
    <w:p>
      <w:r>
        <w:t>-XLR</w:t>
      </w:r>
    </w:p>
    <w:p>
      <w:r>
        <w:t>Clinical findings/Dysmorphic features</w:t>
      </w:r>
    </w:p>
    <w:p>
      <w:r>
        <w:t>-Evidence of feminization (i.e. undermasculinization) of ext. genitalia; abnormal secondary sexual development; infertility in those with 46, XY karyotype</w:t>
      </w:r>
    </w:p>
    <w:p>
      <w:r>
        <w:t>-Spectrum: complete androgen insensitivity syndrome (CAIS), with typical female genitalia --&gt; partial androgen insensitivity syndrome (PAIS) with predominantly female/predominantly male/ambiguous genitalia --&gt; mild androgen insensitivity syndrome (MAIS) with normal male genitalia</w:t>
      </w:r>
    </w:p>
    <w:p>
      <w:r>
        <w:t>Etiology</w:t>
      </w:r>
    </w:p>
    <w:p>
      <w:r>
        <w:t>-2:100,000 to 5:100,000 for CAIS</w:t>
      </w:r>
    </w:p>
    <w:p>
      <w:r>
        <w:t>Pathogenesis</w:t>
      </w:r>
    </w:p>
    <w:p>
      <w:r>
        <w:t>-Nearly all missense variants in the androgen-binding domain impair androgen binding and impair transactivation by the AR --&gt; male sex hormone androgen cannot bind/activate</w:t>
      </w:r>
    </w:p>
    <w:p>
      <w:r>
        <w:t>-Missense variants in the zinc fingers or α-helical portions of the DNA-binding domain impair binding to a sequence of regulatory nucleotides known as an androgen response element</w:t>
      </w:r>
    </w:p>
    <w:p>
      <w:r>
        <w:t>Genetic testing/diagnosis</w:t>
      </w:r>
    </w:p>
    <w:p>
      <w:r>
        <w:t>-No formal diagnostic criteria for identifying AIS have as yet been published</w:t>
      </w:r>
    </w:p>
    <w:p>
      <w:r>
        <w:t>-Single gene sequencing of AR: 97%, Deletion/Duplication analysis: 3%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