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Fibrous Dysplasia (McCune-Albright Syndrome)</w:t>
      </w:r>
    </w:p>
    <w:p>
      <w:r>
        <w:t>Genetics</w:t>
      </w:r>
    </w:p>
    <w:p>
      <w:r>
        <w:t xml:space="preserve">-GNAS (Guanine nucleotide-binding protein G(s), alpha subunit; 20q13.2) </w:t>
      </w:r>
    </w:p>
    <w:p>
      <w:r>
        <w:t>-Early embryonic postzygotic somatic activating pathogenic variants</w:t>
      </w:r>
    </w:p>
    <w:p>
      <w:r>
        <w:t>Clinical findings/Dysmorphic features</w:t>
      </w:r>
    </w:p>
    <w:p>
      <w:r>
        <w:t>-Abnormal scar-like (fibrous) tissue in the bones (polyostotic fibrous dysplasia)</w:t>
      </w:r>
    </w:p>
    <w:p>
      <w:r>
        <w:t>-Involvement of skin, skeleton, certain endocrine organs</w:t>
      </w:r>
    </w:p>
    <w:p>
      <w:r>
        <w:t>-Polyostotic fibrous dysplasia --&gt; high risk of fractures, deformity, functional impairment, pain</w:t>
      </w:r>
    </w:p>
    <w:p>
      <w:r>
        <w:t>-Large irregular café au lait (“coast of Maine”)</w:t>
      </w:r>
    </w:p>
    <w:p>
      <w:r>
        <w:t>-Cranial foramina thickening (may cause deafness and blindness)</w:t>
      </w:r>
    </w:p>
    <w:p>
      <w:r>
        <w:t>-Gonadotropin-independent precocious puberty (early)</w:t>
      </w:r>
    </w:p>
    <w:p>
      <w:r>
        <w:t>-Thyroid lesions with characteristic ultrasonographic features (+/- non-autoimmune hyperthyroidism)</w:t>
      </w:r>
    </w:p>
    <w:p>
      <w:r>
        <w:t>Etiology</w:t>
      </w:r>
    </w:p>
    <w:p>
      <w:r>
        <w:t>-1:100,000 to 1:1,000,000</w:t>
      </w:r>
    </w:p>
    <w:p>
      <w:r>
        <w:t>Pathogenesis</w:t>
      </w:r>
    </w:p>
    <w:p>
      <w:r>
        <w:t>-GNAS variants at residues p.Arg201 and p.Gln227 disrupt the activity of intrinsic GTPase, causing constitutive activity and inappropriately increased cAMP signaling</w:t>
      </w:r>
    </w:p>
    <w:p>
      <w:r>
        <w:t>Genetic testing/diagnosis</w:t>
      </w:r>
    </w:p>
    <w:p>
      <w:r>
        <w:t>-Targeted analysis of codons p.Arg201 and p.Gln227</w:t>
      </w:r>
    </w:p>
    <w:p>
      <w:r>
        <w:t>-Somatic mosaicism for pathogenic missense variants at p.Arg201 has been identified in more than 95% of all published reports of FD/MAS</w:t>
      </w:r>
    </w:p>
    <w:p>
      <w:r>
        <w:t>-Sample of affected tissue --&gt; ~80% (yield) vs. ~20%-30% in peripheral blood lymphocytes</w:t>
      </w:r>
    </w:p>
    <w:p>
      <w:r>
        <w:t>Others</w:t>
      </w:r>
    </w:p>
    <w:p>
      <w:r>
        <w:t>-Not inherited (somatic mutations)</w:t>
      </w:r>
    </w:p>
    <w:p>
      <w:r>
        <w:t>-Spectrum of FD/MAS: asymptomatic incidental findings to neonatal lethality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