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Turner syndrome</w:t>
      </w:r>
    </w:p>
    <w:p>
      <w:r>
        <w:t>Genetics</w:t>
      </w:r>
    </w:p>
    <w:p>
      <w:r>
        <w:t>-SHOX haploinsufficiency because of numeric or structural aberration of the sex chromosome</w:t>
      </w:r>
    </w:p>
    <w:p>
      <w:r>
        <w:t>-SHOX (Xpter-p22.32)</w:t>
      </w:r>
    </w:p>
    <w:p>
      <w:r>
        <w:t>Clinical findings/Dysmorphic features</w:t>
      </w:r>
    </w:p>
    <w:p>
      <w:r>
        <w:t>-Short stature; gonadal dysgenesis; webbed neck; low posterior hairline; broad chest; widely spaced nipples; renal anomalies; cardiovascular anomalies (dilated aortic root, coarctation of the aorta, bicuspid aortic valve [30%]); hypertelorism and low set ears; lymphedema; lack of secondary sex characteristics; amenorrhea; usually normal intelligence; SNHL; Crohn’s disease; renal malformation; osteoporosis</w:t>
      </w:r>
    </w:p>
    <w:p>
      <w:r>
        <w:t>Etiology</w:t>
      </w:r>
    </w:p>
    <w:p>
      <w:r>
        <w:t>-TS occurs in 1:2,500 to 1:3,000 live female births</w:t>
      </w:r>
    </w:p>
    <w:p>
      <w:r>
        <w:t>-99% of 45,X pregnancies lead to spontaneous abortions (Trisomy 21, only 80%)</w:t>
      </w:r>
    </w:p>
    <w:p>
      <w:r>
        <w:t>Genetic testing/diagnosis</w:t>
      </w:r>
    </w:p>
    <w:p>
      <w:r>
        <w:t>-45,X (50%), 46,X,i(Xq) (15%), 45,X/46,XX mosaic (15%), 45,X/46,X,i(Xq) mosaic (5%)</w:t>
      </w:r>
    </w:p>
    <w:p>
      <w:r>
        <w:t>-Karyotype</w:t>
      </w:r>
    </w:p>
    <w:p>
      <w:r>
        <w:t>Others</w:t>
      </w:r>
    </w:p>
    <w:p>
      <w:r>
        <w:t>-Lifelong cardiac follow-up, at risk for aortic dilation and dissection with bicuspid aortic valve</w:t>
      </w:r>
    </w:p>
    <w:p>
      <w:r>
        <w:t>-Cystic hygroma 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