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Jervell and Lange-Nielsen Syndrome</w:t>
      </w:r>
    </w:p>
    <w:p>
      <w:r>
        <w:t>Genetics</w:t>
      </w:r>
    </w:p>
    <w:p>
      <w:r>
        <w:t>-KCNQ1 (K+ channel protein; 11p15.5) and KCNE1 (K+ voltage-gated channel; 21q22.1)</w:t>
      </w:r>
    </w:p>
    <w:p>
      <w:r>
        <w:t>-AR (Heterozygotes at risk for AD long QT a.k.a. Romano Ward syndrome)</w:t>
      </w:r>
    </w:p>
    <w:p>
      <w:r>
        <w:t>Clinical findings/Dysmorphic features</w:t>
      </w:r>
    </w:p>
    <w:p>
      <w:r>
        <w:t xml:space="preserve">-Congenital severe-profound bilateral SNHL </w:t>
      </w:r>
    </w:p>
    <w:p>
      <w:r>
        <w:t>-Prolonged QT interval --&gt; at risk for arrhythmia, syncope, and sudden death</w:t>
      </w:r>
    </w:p>
    <w:p>
      <w:r>
        <w:t>Etiology</w:t>
      </w:r>
    </w:p>
    <w:p>
      <w:r>
        <w:t>-high (1:200,000) in North Europe --&gt; founder variants</w:t>
      </w:r>
    </w:p>
    <w:p>
      <w:r>
        <w:t>Pathogenesis</w:t>
      </w:r>
    </w:p>
    <w:p>
      <w:r>
        <w:t>-In cardiac cells: abnormal repolarization of the ventricular action potential</w:t>
      </w:r>
    </w:p>
    <w:p>
      <w:r>
        <w:t>-In cochlear cells: abnormal depolarization of the auditory nerve</w:t>
      </w:r>
    </w:p>
    <w:p>
      <w:r>
        <w:t>Genetic testing/diagnosis</w:t>
      </w:r>
    </w:p>
    <w:p>
      <w:r>
        <w:t>-LoF variants in: KCNQ1 sequencing (90%), KCNE1 (10%)</w:t>
      </w:r>
    </w:p>
    <w:p>
      <w:r>
        <w:t>Others</w:t>
      </w:r>
    </w:p>
    <w:p>
      <w:r>
        <w:t>-Cochlear implants for HL, beta blockers, cardiac pacemakers, and/or implantable defibrillators</w:t>
      </w:r>
    </w:p>
    <w:p>
      <w:r>
        <w:t>-Avoid QT prolonging drugs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