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Pendred syndrome</w:t>
      </w:r>
    </w:p>
    <w:p>
      <w:r>
        <w:t>Genetics</w:t>
      </w:r>
    </w:p>
    <w:p>
      <w:r>
        <w:t>-SLC26A4 (PDS) most common; FOX11, KCNJ10 in rare cases</w:t>
      </w:r>
    </w:p>
    <w:p>
      <w:r>
        <w:t>-AR</w:t>
      </w:r>
    </w:p>
    <w:p>
      <w:r>
        <w:t>Clinical findings/Dysmorphic features</w:t>
      </w:r>
    </w:p>
    <w:p>
      <w:r>
        <w:t>-SNHL that is usually congenital and often severe to profound</w:t>
      </w:r>
    </w:p>
    <w:p>
      <w:r>
        <w:t>-Vestibular dysfunction, and temporal bone abnormalities (bilateral enlarged vestibular aqueduct with or without cochlear hypoplasia; Mondini malformation)</w:t>
      </w:r>
    </w:p>
    <w:p>
      <w:r>
        <w:t>-Goiter in 75% though only 10% have abnormal thyroid function</w:t>
      </w:r>
    </w:p>
    <w:p>
      <w:r>
        <w:t>Etiology</w:t>
      </w:r>
    </w:p>
    <w:p>
      <w:r>
        <w:t>-not known</w:t>
      </w:r>
    </w:p>
    <w:p>
      <w:r>
        <w:t>Pathogenesis</w:t>
      </w:r>
    </w:p>
    <w:p>
      <w:r>
        <w:t>-SLC26A4 is a chloride/iodide exchanger in the inner ear and thyroid --&gt; mutation leads to inner ear malformation and abnormal iodide processing in the thyroid</w:t>
      </w:r>
    </w:p>
    <w:p>
      <w:r>
        <w:t>Genetic testing/diagnosis</w:t>
      </w:r>
    </w:p>
    <w:p>
      <w:r>
        <w:t>-Biallelic pathogenic variants in SLC26A4 or double heterozygosity for one pathogenic variant in SLC26A4 and one pathogenic variant in either FOXI1 or KCNJ10</w:t>
      </w:r>
    </w:p>
    <w:p>
      <w:r>
        <w:t>-p.Leu236Pro (26%), p.Thr416Pro (15%), c.1001+1G&gt;A (14%) --&gt; 50% of variants in SLC26A4</w:t>
      </w:r>
    </w:p>
    <w:p>
      <w:r>
        <w:t>Others</w:t>
      </w:r>
    </w:p>
    <w:p>
      <w:r>
        <w:t>-Pathogenic variants in SLC26A4 are the third most frequent cause of hearing loss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