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Bruton’s agammaglobulinemia (X-linked agammaglobulinemia)</w:t>
      </w:r>
    </w:p>
    <w:p>
      <w:r>
        <w:t>Genetics</w:t>
      </w:r>
    </w:p>
    <w:p>
      <w:r>
        <w:t>-Gene: BTK (Xq21.3)</w:t>
      </w:r>
    </w:p>
    <w:p>
      <w:r>
        <w:t>-XLR</w:t>
      </w:r>
    </w:p>
    <w:p>
      <w:r>
        <w:t>Clinical findings/Dysmorphic features</w:t>
      </w:r>
    </w:p>
    <w:p>
      <w:r>
        <w:t>-Recurrent bacterial infections in aff. males in first 2y (otitis most common prior to diagnosis)</w:t>
      </w:r>
    </w:p>
    <w:p>
      <w:r>
        <w:t>-Also: conjunctivitis, sinopulmonary infections, diarrhea, skin infections</w:t>
      </w:r>
    </w:p>
    <w:p>
      <w:r>
        <w:t>-60% of individuals are found to have immunodeficiency when they develop a severe, life-threatening infection (pneumonia, empyema, meningitis, sepsis, cellulitis, septic arthritis)</w:t>
      </w:r>
    </w:p>
    <w:p>
      <w:r>
        <w:t>-Paucity of lymphoid tissue</w:t>
      </w:r>
    </w:p>
    <w:p>
      <w:r>
        <w:t>Etiology</w:t>
      </w:r>
    </w:p>
    <w:p>
      <w:r>
        <w:t>-3:1,000,000-6:1,000,000</w:t>
      </w:r>
    </w:p>
    <w:p>
      <w:r>
        <w:t>Pathogenesis</w:t>
      </w:r>
    </w:p>
    <w:p>
      <w:r>
        <w:t>-BTK expressed in myeloid cells, platelets, B lineage cells --&gt; development/maturation of B cells</w:t>
      </w:r>
    </w:p>
    <w:p>
      <w:r>
        <w:t>Genetic testing/diagnosis</w:t>
      </w:r>
    </w:p>
    <w:p>
      <w:r>
        <w:t>-Males with early-onset infections, low serum immunoglobulins, absent B cells (CD19+ cells)</w:t>
      </w:r>
    </w:p>
    <w:p>
      <w:r>
        <w:t>-Low but measurable IgG, &lt;1% B Cells (CD19)</w:t>
      </w:r>
    </w:p>
    <w:p>
      <w:r>
        <w:t>-90% BTK sequence variant, 8% gene targeted in/del; 3-5% CMA (larger deletions)</w:t>
      </w:r>
    </w:p>
    <w:p>
      <w:r>
        <w:t>Others</w:t>
      </w:r>
    </w:p>
    <w:p>
      <w:r>
        <w:t>-Treatment is gamma-globulin substitution (subcutaneous or intravenous every 2-4 weeks)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