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Familial Mediterranean Fever</w:t>
      </w:r>
    </w:p>
    <w:p>
      <w:r>
        <w:t>Genetics</w:t>
      </w:r>
    </w:p>
    <w:p>
      <w:r>
        <w:t>-Gene: MEFV (Pyrin; 16p13)</w:t>
      </w:r>
    </w:p>
    <w:p>
      <w:r>
        <w:t>-AR</w:t>
      </w:r>
    </w:p>
    <w:p>
      <w:r>
        <w:t>Clinical findings/Dysmorphic features</w:t>
      </w:r>
    </w:p>
    <w:p>
      <w:r>
        <w:t>-Type 1: recurrent short episodes of inflammation, serositis and fever; peritonitis, synovitis, pleuritis, pericarditis, meningitis; amyloidosis severe complication: if untreated --&gt; renal failure</w:t>
      </w:r>
    </w:p>
    <w:p>
      <w:r>
        <w:t>-Type 2: amyloidosis as first clinical manifestation in asymptomatic individual</w:t>
      </w:r>
    </w:p>
    <w:p>
      <w:r>
        <w:t>Etiology</w:t>
      </w:r>
    </w:p>
    <w:p>
      <w:r>
        <w:t>-Variant p.Met694Val in more than 90% of affected Jewish of North African origin</w:t>
      </w:r>
    </w:p>
    <w:p>
      <w:r>
        <w:t>Pathogenesis</w:t>
      </w:r>
    </w:p>
    <w:p>
      <w:r>
        <w:t>-Mutations result in increased IL-1 responsiveness --&gt; increased inflammatory attacks</w:t>
      </w:r>
    </w:p>
    <w:p>
      <w:r>
        <w:t>Genetic testing/diagnosis</w:t>
      </w:r>
    </w:p>
    <w:p>
      <w:r>
        <w:t>-Sequencing: 75-90%; no In/Del reported</w:t>
      </w:r>
    </w:p>
    <w:p>
      <w:r>
        <w:t>-Targeted analysis first: Armenian, Turkish, Arab, North African Jewish, Iraqi Jewish, AJ</w:t>
      </w:r>
    </w:p>
    <w:p>
      <w:r>
        <w:t>Others</w:t>
      </w:r>
    </w:p>
    <w:p>
      <w:r>
        <w:t>-Up to 25% of individuals with FMF have only one MEFV pathogenic variant identified</w:t>
      </w:r>
    </w:p>
    <w:p>
      <w:r>
        <w:t>-If only one mutation: diagnosis of FMF can be confirmed by a 6-month trial of colchicine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