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Aarskog syndrome</w:t>
      </w:r>
    </w:p>
    <w:p>
      <w:r>
        <w:t>Genetics</w:t>
      </w:r>
    </w:p>
    <w:p>
      <w:r>
        <w:t>-Gene: FGD1 (Rho/Rac guanine nucleotide exchange factor; Xp11.22)</w:t>
      </w:r>
    </w:p>
    <w:p>
      <w:r>
        <w:t>-XLR (some cases AR or AD)</w:t>
      </w:r>
    </w:p>
    <w:p>
      <w:r>
        <w:t>Clinical findings/Dysmorphic features</w:t>
      </w:r>
    </w:p>
    <w:p>
      <w:r>
        <w:t>-Shawl scrotum (scrotum surrounds penis); cryptorchidism; brachydactyly (short fingers); short stature; cervical vertebral abnormalities; ID in 30%</w:t>
      </w:r>
    </w:p>
    <w:p>
      <w:r>
        <w:t>-High anterior hairline, frontal bossing, hypertelorism, anteverted nares</w:t>
      </w:r>
    </w:p>
    <w:p>
      <w:r>
        <w:t>-Milder manifestations in females: hypertelorism, short stature, widow's peak hairline</w:t>
      </w:r>
    </w:p>
    <w:p>
      <w:r>
        <w:t>Etiology</w:t>
      </w:r>
    </w:p>
    <w:p>
      <w:r>
        <w:t>-Not known</w:t>
      </w:r>
    </w:p>
    <w:p>
      <w:r>
        <w:t>Pathogenesis</w:t>
      </w:r>
    </w:p>
    <w:p>
      <w:r>
        <w:t>-Unclear: FGD1/Rho GTPase Cdc42 implicated in cytoskeletal organization, potentially in skeletal formation and morphogenesis</w:t>
      </w:r>
    </w:p>
    <w:p>
      <w:r>
        <w:t>Genetic testing/diagnosis</w:t>
      </w:r>
    </w:p>
    <w:p>
      <w:r>
        <w:t>-FGD1 sequencing (20%)</w:t>
      </w:r>
    </w:p>
    <w:p>
      <w:r>
        <w:t>Others</w:t>
      </w:r>
    </w:p>
    <w:p>
      <w:r>
        <w:t>-Orchiopexy (surgery to move undescended testicle into scrotum and permanently fix it there)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