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Coffin-Lowry syndrome</w:t>
      </w:r>
    </w:p>
    <w:p>
      <w:r>
        <w:t>Genetics</w:t>
      </w:r>
    </w:p>
    <w:p>
      <w:r>
        <w:t>-RPS6KA3 (Ribosomal protein S6 kinase alpha-3)</w:t>
      </w:r>
    </w:p>
    <w:p>
      <w:r>
        <w:t>-XLD; 70%-80% de novo; 20%-30% with &gt;1 additional affected family member</w:t>
      </w:r>
    </w:p>
    <w:p>
      <w:r>
        <w:t>Clinical findings/Dysmorphic features</w:t>
      </w:r>
    </w:p>
    <w:p>
      <w:r>
        <w:t>-Severe to profound ID in males; males &lt;3%ile in height; soft fleshy hands, tapering fingers with small terminal phalanges; microcephaly; kyphoscoliosis</w:t>
      </w:r>
    </w:p>
    <w:p>
      <w:r>
        <w:t>-Stimulus induced drop episodes (SIDAs)</w:t>
      </w:r>
    </w:p>
    <w:p>
      <w:r>
        <w:t>-Facial features in older males: prominent forehead/eyebrows, full supraorbital ridges, marked ocular hypertelorism, downslanting palpebrae, low nasal bridge, blunt tip, thick alae nasi and septum, large mouth, usually held open, patulous lips with everted lower lip, prominent ears</w:t>
      </w:r>
    </w:p>
    <w:p>
      <w:r>
        <w:t>Etiology</w:t>
      </w:r>
    </w:p>
    <w:p>
      <w:r>
        <w:t>-1:40,000 to 1:50,000</w:t>
      </w:r>
    </w:p>
    <w:p>
      <w:r>
        <w:t>Pathogenesis</w:t>
      </w:r>
    </w:p>
    <w:p>
      <w:r>
        <w:t>-Unclear; RPS6KA3 part of Ras signaling cascade --&gt; cellular proliferation and differentiation</w:t>
      </w:r>
    </w:p>
    <w:p>
      <w:r>
        <w:t>Genetic testing/diagnosis</w:t>
      </w:r>
    </w:p>
    <w:p>
      <w:r>
        <w:t>-RPS6KA3 (35-40%), thereof 90-95% seq, 5-10% In/Del</w:t>
      </w:r>
    </w:p>
    <w:p>
      <w:r>
        <w:t>Others</w:t>
      </w:r>
    </w:p>
    <w:p>
      <w:r>
        <w:t>-Symptoms usually more severe in males than in females --&gt; normal to profound ID in females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