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Fryns syndrome</w:t>
      </w:r>
    </w:p>
    <w:p>
      <w:r>
        <w:t>Genetics</w:t>
      </w:r>
    </w:p>
    <w:p>
      <w:r>
        <w:t>-No gene known</w:t>
      </w:r>
    </w:p>
    <w:p>
      <w:r>
        <w:t>-AR</w:t>
      </w:r>
    </w:p>
    <w:p>
      <w:r>
        <w:t>Clinical findings/Dysmorphic features</w:t>
      </w:r>
    </w:p>
    <w:p>
      <w:r>
        <w:t xml:space="preserve">-Most common autosomal recessive syndrome associated with congenital diaphragmatic hernia </w:t>
      </w:r>
    </w:p>
    <w:p>
      <w:r>
        <w:t>-Diaphragmatic defects (diaphragmatic hernia, hypoplasia or agenesis); pulmonary hypoplasia; distal digital hypoplasia (nails, terminal phalanges); genitourinary malformations</w:t>
      </w:r>
    </w:p>
    <w:p>
      <w:r>
        <w:t>-Agenesis of the Corpus Callosum; optic and olfactory tract hypoplasia; encephalocele</w:t>
      </w:r>
    </w:p>
    <w:p>
      <w:r>
        <w:t>-Facial: coarse facies; hypertelorism; broad/flat nasal bridge; thick nasal tip; long philtrum; low-set/poorly formed ears; tented upper lip; macrostomia (wide mouth); micrognathia</w:t>
      </w:r>
    </w:p>
    <w:p>
      <w:r>
        <w:t>Etiology</w:t>
      </w:r>
    </w:p>
    <w:p>
      <w:r>
        <w:t>-7 in 100,000 live births in a French population</w:t>
      </w:r>
    </w:p>
    <w:p>
      <w:r>
        <w:t>Pathogenesis</w:t>
      </w:r>
    </w:p>
    <w:p>
      <w:r>
        <w:t>-Not known</w:t>
      </w:r>
    </w:p>
    <w:p>
      <w:r>
        <w:t>Genetic testing/diagnosis</w:t>
      </w:r>
    </w:p>
    <w:p>
      <w:r>
        <w:t>-Based on clinical findings; several different chromosome aberrations have been described in individuals who have previously received a diagnosis of Fryns syndrome</w:t>
      </w:r>
    </w:p>
    <w:p>
      <w:r>
        <w:t>Others</w:t>
      </w:r>
    </w:p>
    <w:p>
      <w:r>
        <w:t>-Majority are stillborn or die in early neonatal period, 14% survive longer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