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Kabuki syndrome</w:t>
      </w:r>
    </w:p>
    <w:p>
      <w:r>
        <w:t>Genetics</w:t>
      </w:r>
    </w:p>
    <w:p>
      <w:r>
        <w:t>-KMT2D (75%, AD; MLL2), KDM6A (3-5%, XLR; Lysine-specific demethylase 6A)</w:t>
      </w:r>
    </w:p>
    <w:p>
      <w:r>
        <w:t>Clinical findings/Dysmorphic features</w:t>
      </w:r>
    </w:p>
    <w:p>
      <w:r>
        <w:t>-Facial: long palpebral fissures with eversion of the lateral third of the lower eyelid; arched and broad eyebrows; short columella with depressed nasal tip; large, prominent, cupped ears</w:t>
      </w:r>
    </w:p>
    <w:p>
      <w:r>
        <w:t>-Fetal finger pads; mild to moderate ID (IQ&lt;80); joint laxity; high palate; hypotonia; short stature; CHD; CL/P; scoliosis; renal anomalies; hearing loss; speech delay</w:t>
      </w:r>
    </w:p>
    <w:p>
      <w:r>
        <w:t>Etiology</w:t>
      </w:r>
    </w:p>
    <w:p>
      <w:r>
        <w:t>-Approx. 1:32,000 – 1:86,000</w:t>
      </w:r>
    </w:p>
    <w:p>
      <w:r>
        <w:t>Pathogenesis</w:t>
      </w:r>
    </w:p>
    <w:p>
      <w:r>
        <w:t>-KDM6A and KMT2D part of ASCOM complex --&gt; removes repressive epigenetic marks and deposit activating methylation marks on chromatin</w:t>
      </w:r>
    </w:p>
    <w:p>
      <w:r>
        <w:t>Genetic testing/diagnosis</w:t>
      </w:r>
    </w:p>
    <w:p>
      <w:r>
        <w:t xml:space="preserve">-Diagnosis of KS in a proband with a history of infantile hypotonia, DD, and/or ID AND one or both of the following: </w:t>
      </w:r>
    </w:p>
    <w:p>
      <w:r>
        <w:t>1) typical dysmorphic features (long palpebral fissures with eversion of the lateral third of the lower eyelid, and ≥2 of the following: arched/broad eyebrows with lateral third displaying notching/sparseness; short columella with depressed nasal tip; large, prominent, cupped ears; persistent fingertip pads)</w:t>
      </w:r>
    </w:p>
    <w:p>
      <w:r>
        <w:t>2) heterozygous variant in KMT2D or heterozygous or hemizygous pathogenic variant in KDM6A</w:t>
      </w:r>
    </w:p>
    <w:p>
      <w:r>
        <w:t>-KMT2D (99% sequencing); KDM6A (80% sequencing, 20% InDel)</w:t>
      </w:r>
    </w:p>
    <w:p>
      <w:r>
        <w:t>Others</w:t>
      </w:r>
    </w:p>
    <w:p>
      <w:r>
        <w:t>-Risk for immunodeficiency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