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Prader-Willi Syndrome</w:t>
      </w:r>
    </w:p>
    <w:p>
      <w:r>
        <w:t>Genetics</w:t>
      </w:r>
    </w:p>
    <w:p>
      <w:r>
        <w:t>-15q11.2-q13; 4 distinct regions; 3 common deletion breakpoints within segmental duplication</w:t>
      </w:r>
    </w:p>
    <w:p>
      <w:r>
        <w:t>-Penetrance is complete</w:t>
      </w:r>
    </w:p>
    <w:p>
      <w:r>
        <w:t>Clinical findings/Dysmorphic features</w:t>
      </w:r>
    </w:p>
    <w:p>
      <w:r>
        <w:t>-Severe hypotonia and feeding difficulties in early infancy --&gt; excessive eating and gradual development of morbid obesity in later infancy/early childhood</w:t>
      </w:r>
    </w:p>
    <w:p>
      <w:r>
        <w:t>-Delayed motor milestones/language development; some degree of cognitive impairment</w:t>
      </w:r>
    </w:p>
    <w:p>
      <w:r>
        <w:t>-Temper tantrums, stubbornness, manipulative behavior, obsessive-compulsive features</w:t>
      </w:r>
    </w:p>
    <w:p>
      <w:r>
        <w:t>-Hypogonadism in both males and females (manifests as genital hypoplasia, incomplete pubertal development, infertility)</w:t>
      </w:r>
    </w:p>
    <w:p>
      <w:r>
        <w:t>-Short stature (if not treated with growth hormone); characteristic facial features; strabismus; scoliosis; thick/sticky saliva</w:t>
      </w:r>
    </w:p>
    <w:p>
      <w:r>
        <w:t>Etiology</w:t>
      </w:r>
    </w:p>
    <w:p>
      <w:r>
        <w:t>-1:10,000 to 1:30,000</w:t>
      </w:r>
    </w:p>
    <w:p>
      <w:r>
        <w:t>Pathogenesis</w:t>
      </w:r>
    </w:p>
    <w:p>
      <w:r>
        <w:t>-Genomic and epigenetic changes causing PWS all lead to a loss of expression of the normally paternally expressed genes on chromosome 15q11.2-q13</w:t>
      </w:r>
    </w:p>
    <w:p>
      <w:r>
        <w:t xml:space="preserve">-PWS paternal-only expressed region: </w:t>
      </w:r>
    </w:p>
    <w:p>
      <w:r>
        <w:t xml:space="preserve">--&gt; 5 protein-coding genes (MKRN3, MAGEL2, NECDIN, bicistronic SNURF-SNRPN) </w:t>
      </w:r>
    </w:p>
    <w:p>
      <w:r>
        <w:t>--&gt; NPAP1 (intron-less gene; biallelically expressed in testis, only from paternal allele in brain)</w:t>
      </w:r>
    </w:p>
    <w:p>
      <w:r>
        <w:t>--&gt; Cluster of C/D box snoRNAs and antisense transcripts (incl. antisense transcript to UBE3A)</w:t>
      </w:r>
    </w:p>
    <w:p>
      <w:r>
        <w:t>-AS maternally-only expressed region: with maternally expressed genes UBE3A and ATP10A</w:t>
      </w:r>
    </w:p>
    <w:p>
      <w:r>
        <w:t>Genetic testing/diagnosis</w:t>
      </w:r>
    </w:p>
    <w:p>
      <w:r>
        <w:t>-DNA methylation analysis --&gt; abnormal parent-specific imprinting within the PW critical region</w:t>
      </w:r>
    </w:p>
    <w:p>
      <w:r>
        <w:t>-70% have paternal deletions in 15q11q13; 25% have maternal uniparental disomy; &lt;5% have methylation defects; &lt;1% have translocations involving the 15q11q13 region</w:t>
      </w:r>
    </w:p>
    <w:p>
      <w:r>
        <w:t>-DNA methylation analysis (e.g. MS-MLPA) at 5' SNRPN locus will identify imprinting defects</w:t>
      </w:r>
    </w:p>
    <w:p>
      <w:r>
        <w:t>Others</w:t>
      </w:r>
    </w:p>
    <w:p>
      <w:r>
        <w:t xml:space="preserve">-Risk to the sibs of affected child depends on genetic mechanism: </w:t>
      </w:r>
    </w:p>
    <w:p>
      <w:r>
        <w:t>--&gt; Less than 1% if affected child has deletion or uniparental disomy</w:t>
      </w:r>
    </w:p>
    <w:p>
      <w:r>
        <w:t>--&gt; Up to 50% if the affected child has an imprinting defect</w:t>
      </w:r>
    </w:p>
    <w:p>
      <w:r>
        <w:t>--&gt; Up to 25% if a parental chromosome translocation is present</w:t>
      </w:r>
    </w:p>
    <w:p>
      <w:r>
        <w:t>-Prenatal testing is possible for pregnancies at increased risk if underlying mechanism is known</w:t>
      </w:r>
    </w:p>
    <w:p>
      <w:r>
        <w:t>-SNRPN is methylated on maternal allele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