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Rubinstein-Taybi syndrome</w:t>
      </w:r>
    </w:p>
    <w:p>
      <w:r>
        <w:t>Genetics</w:t>
      </w:r>
    </w:p>
    <w:p>
      <w:r>
        <w:t>-CREBBP (CREB-binding protein), EP300 (histone acetyltransferase-p300)</w:t>
      </w:r>
    </w:p>
    <w:p>
      <w:r>
        <w:t>-AD; mostly de novo; empiric recurrence risk for sibs is less than 1%</w:t>
      </w:r>
    </w:p>
    <w:p>
      <w:r>
        <w:t>Clinical findings/Dysmorphic features</w:t>
      </w:r>
    </w:p>
    <w:p>
      <w:r>
        <w:t>-Broad and often angulated thumbs and great toes; short stature; moderate to severe ID</w:t>
      </w:r>
    </w:p>
    <w:p>
      <w:r>
        <w:t>-Facial: downslanted palpebral fissures, low-hanging columella, high palate, grimacing smile, and talon cusps ("cusp-like" projections located on the inside surface of the affected tooth)</w:t>
      </w:r>
    </w:p>
    <w:p>
      <w:r>
        <w:t>Etiology</w:t>
      </w:r>
    </w:p>
    <w:p>
      <w:r>
        <w:t>-Prevalence of 1:100,000 to 1:125,000 in the Netherlands</w:t>
      </w:r>
    </w:p>
    <w:p>
      <w:r>
        <w:t>Pathogenesis</w:t>
      </w:r>
    </w:p>
    <w:p>
      <w:r>
        <w:t>-CREBBP mutations cause abnormal histones-acetylation</w:t>
      </w:r>
    </w:p>
    <w:p>
      <w:r>
        <w:t>Genetic testing/diagnosis</w:t>
      </w:r>
    </w:p>
    <w:p>
      <w:r>
        <w:t>-CREBBP and EP300 only genes known to be associated with Rubinstein-Taybi syndrome</w:t>
      </w:r>
    </w:p>
    <w:p>
      <w:r>
        <w:t>-CREBBP: FISH (~10%) and sequencing (40-60%), EP300 (~3%-8%); 30% unknown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