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Smith-Magenis syndrome</w:t>
      </w:r>
    </w:p>
    <w:p>
      <w:r>
        <w:t>Genetics</w:t>
      </w:r>
    </w:p>
    <w:p>
      <w:r>
        <w:t>-Deletion or mutation of RAI1 (Retinoic acid-induced protein 1; 17p11.2)</w:t>
      </w:r>
    </w:p>
    <w:p>
      <w:r>
        <w:t>-Deletions are de novo; SNVs can be de novo or inherited</w:t>
      </w:r>
    </w:p>
    <w:p>
      <w:r>
        <w:t>Clinical findings/Dysmorphic features</w:t>
      </w:r>
    </w:p>
    <w:p>
      <w:r>
        <w:t>-Mild-moderate infantile hypotonia, feeding problems, FTT</w:t>
      </w:r>
    </w:p>
    <w:p>
      <w:r>
        <w:t>-Short stature, brachydactyly, ophthalmologic abnormalities, early speech delay with or without hearing loss, peripheral neuropathy, sleep problems; mild-moderate ID</w:t>
      </w:r>
    </w:p>
    <w:p>
      <w:r>
        <w:t>-Stereotypic maladaptive behaviors (self-injurious behaviors, inattention, hyperactivity, impulsivity, disobedience, “self-hug” and “lick and flip” page motion)</w:t>
      </w:r>
    </w:p>
    <w:p>
      <w:r>
        <w:t>-Facial: brachycephaly; midface retrusion; relative prognathism with age; broad, square‐shaped face; everted, "tent"-shaped vermilion of the upper lip with mild micrognathia; deep‐set, close‐spaced eyes; coarsening face over time</w:t>
      </w:r>
    </w:p>
    <w:p>
      <w:r>
        <w:t>Etiology</w:t>
      </w:r>
    </w:p>
    <w:p>
      <w:r>
        <w:t>-Prevalence ~1:15,000</w:t>
      </w:r>
    </w:p>
    <w:p>
      <w:r>
        <w:t>Pathogenesis</w:t>
      </w:r>
    </w:p>
    <w:p>
      <w:r>
        <w:t>-RAI1 functions in transcriptional regulation --&gt; haploinsufficiency as disease mechanism</w:t>
      </w:r>
    </w:p>
    <w:p>
      <w:r>
        <w:t>Genetic testing/diagnosis</w:t>
      </w:r>
    </w:p>
    <w:p>
      <w:r>
        <w:t>-Visible interstitial deletion of chromosome 17p11.2: routine G-banded analysis with adequate resolution (≥550 band); can be overlooked particularly when the indication is not SMS</w:t>
      </w:r>
    </w:p>
    <w:p>
      <w:r>
        <w:t>-FISH or aCGH required in cases of submicroscopic deletions and/or to resolve equivocal cases</w:t>
      </w:r>
    </w:p>
    <w:p>
      <w:r>
        <w:t>-90% have FISH-detectable deletion and of those ~70% have the common 3.5-Mb deletion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