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X-linked adrenoleukodystrophy</w:t>
      </w:r>
    </w:p>
    <w:p>
      <w:r>
        <w:t>Genetics</w:t>
      </w:r>
    </w:p>
    <w:p>
      <w:r>
        <w:t>-ABCD1 (ATP-binding cassette sub-family D member 1) --&gt; Adrenoleukodystrophy protein</w:t>
      </w:r>
    </w:p>
    <w:p>
      <w:r>
        <w:t>-95% inherited; ~ 4.1% have de novo variant</w:t>
      </w:r>
    </w:p>
    <w:p>
      <w:r>
        <w:t>Clinical findings/Dysmorphic features</w:t>
      </w:r>
    </w:p>
    <w:p>
      <w:r>
        <w:t>-X-ALD affects the nervous system white matter and the adrenal cortex</w:t>
      </w:r>
    </w:p>
    <w:p>
      <w:r>
        <w:t>-Three main types:</w:t>
      </w:r>
    </w:p>
    <w:p>
      <w:r>
        <w:t>1) Childhood cerebral form (35-40%): between ages 4-8; first ADHD/hyperactivity; progressive impairment of cognition, behavior, vision, hearing, motor function --&gt; total disability within six months to two years; most have impaired adrenocortical function at the time that neurologic disturbances are first noted; symmetric enhanced T2 signal in the parieto-occipital region</w:t>
      </w:r>
    </w:p>
    <w:p>
      <w:r>
        <w:t>2) Adrenomyeloneuropathy (AMN; 40-45%): in 20s or middle age; progressive stiffness and weakness of the legs, sphincter disturbances, sexual dysfunction; often, impaired adrenocortical function; all symptoms are progressive over decades; 60% of heterozygous women (&gt;40 yr-old) manifests AMN; 35% of male with AMN develop cerebral demyelination</w:t>
      </w:r>
    </w:p>
    <w:p>
      <w:r>
        <w:t>3) Addison disease only (10%): between age two years and adulthood (most commonly by age 7.5 years); primary adrenocortical insufficiency, without evidence of neurologic abnormality</w:t>
      </w:r>
    </w:p>
    <w:p>
      <w:r>
        <w:t>Etiology</w:t>
      </w:r>
    </w:p>
    <w:p>
      <w:r>
        <w:t>-Prevalence is estimated at between 1:20,000 and 1:50,000</w:t>
      </w:r>
    </w:p>
    <w:p>
      <w:r>
        <w:t>Pathogenesis</w:t>
      </w:r>
    </w:p>
    <w:p>
      <w:r>
        <w:t>-Peroxisomal disorder, accumulation of saturated VLCFA</w:t>
      </w:r>
    </w:p>
    <w:p>
      <w:r>
        <w:t>-ALDP located in peroxisomal membrane; required for transport of VLCFA into peroxisome</w:t>
      </w:r>
    </w:p>
    <w:p>
      <w:r>
        <w:t>Genetic testing/diagnosis</w:t>
      </w:r>
    </w:p>
    <w:p>
      <w:r>
        <w:t>-Diagnosis of X-ALD: in a male proband with suggestive clinical findings and elevated VLCFA; in a female proband with detection of a heterozygous ABCD1 variant and elevated VLCFA</w:t>
      </w:r>
    </w:p>
    <w:p>
      <w:r>
        <w:t>-MRI always abnormal in boys with cerebral disease (often provides the first diagnostic lead)</w:t>
      </w:r>
    </w:p>
    <w:p>
      <w:r>
        <w:t>-Diagnosis based on elevations in VLCFA in plasma or cultured fibroblasts: concentration of C26:0; Ratio of C26:0/C22:0 and C24:0/C22:0</w:t>
      </w:r>
    </w:p>
    <w:p>
      <w:r>
        <w:t>-ABCD1 seq (92%); ABCD1 del/dup (6%)</w:t>
      </w:r>
    </w:p>
    <w:p>
      <w:r>
        <w:t>Others</w:t>
      </w:r>
    </w:p>
    <w:p>
      <w:r>
        <w:t>-20% of females who are carriers develop neurologic manifestations (AMN) but with later onset (age ≥35 years) and milder disease; carrier females do not have adrenal insufficiency</w:t>
      </w:r>
    </w:p>
    <w:p>
      <w:r>
        <w:t>-Corticosteroid replacement, BMT if diagnosed after changes visible on brain MRI but before significant neuropsychological problems develop</w:t>
      </w:r>
    </w:p>
    <w:p>
      <w:r>
        <w:t>-Lorenzo’s oil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