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Fragile X</w:t>
      </w:r>
    </w:p>
    <w:p>
      <w:r>
        <w:t>Genetics</w:t>
      </w:r>
    </w:p>
    <w:p>
      <w:r>
        <w:t>-FMR-1 (FMRP, Fragile X Mental Retardation Protein, Xq27.3)</w:t>
      </w:r>
    </w:p>
    <w:p>
      <w:r>
        <w:t>-X-linked triplet repeat, CGG repeat expansion in the 5’ UTR</w:t>
      </w:r>
    </w:p>
    <w:p>
      <w:r>
        <w:t>-Normal alleles ~5-44</w:t>
      </w:r>
    </w:p>
    <w:p>
      <w:r>
        <w:t>-Intermediate alleles ~ 45-54: 14% of intermediate alleles are unstable and may expand into premutation when transmitted by the mother; not known to expand to full mutation</w:t>
      </w:r>
    </w:p>
    <w:p>
      <w:r>
        <w:t>-Premutation alleles ~55-200: no fragile X syndrome, but increased risk for FXTAS/POI; 56 is smallest repeat known to expand to full mutation in single transmission; not hypermethylated</w:t>
      </w:r>
    </w:p>
    <w:p>
      <w:r>
        <w:t>-Full-mutation alleles &gt; 200 CGG repeats: 100s – 1000s repeats typical; hypermethylation of the FMR1 promoter</w:t>
      </w:r>
    </w:p>
    <w:p>
      <w:r>
        <w:t>Clinical findings/Dysmorphic features</w:t>
      </w:r>
    </w:p>
    <w:p>
      <w:r>
        <w:t>1) Fragile X syndrome:</w:t>
      </w:r>
    </w:p>
    <w:p>
      <w:r>
        <w:t>-FMR1 full mutation or LoF variant; moderate ID in affected males/ID in affected females</w:t>
      </w:r>
    </w:p>
    <w:p>
      <w:r>
        <w:t>-Males with FMR1 full mutation accompanied by aberrant methylation: typical facial features (long face, prominent forehead, large ears, prominent jaw), connective tissue findings (joint laxity), large testes after puberty, behavioral abnormalities (ASD)</w:t>
      </w:r>
    </w:p>
    <w:p>
      <w:r>
        <w:t>2) Fragile X-associated tremor/ataxia syndrome (FXTAS):</w:t>
      </w:r>
    </w:p>
    <w:p>
      <w:r>
        <w:t>-In males (and some females) with FMR1 premutation</w:t>
      </w:r>
    </w:p>
    <w:p>
      <w:r>
        <w:t>-Characterized by late-onset, progressive cerebellar ataxia and intention tremor</w:t>
      </w:r>
    </w:p>
    <w:p>
      <w:r>
        <w:t>3) FMR1-related primary ovarian insufficiency (POI):</w:t>
      </w:r>
    </w:p>
    <w:p>
      <w:r>
        <w:t>-Age at cessation of menses &lt;40 years; in approx. 20% of females with FMR1 premutation</w:t>
      </w:r>
    </w:p>
    <w:p>
      <w:r>
        <w:t>Etiology</w:t>
      </w:r>
    </w:p>
    <w:p>
      <w:r>
        <w:t>-16 to 25:100,000 males affected with fragile X syndrome</w:t>
      </w:r>
    </w:p>
    <w:p>
      <w:r>
        <w:t>Pathogenesis</w:t>
      </w:r>
    </w:p>
    <w:p>
      <w:r>
        <w:t>-&gt;200 repeats lead to silencing by methylation --&gt; FMRP is RNA-binding protein that forms a messenger ribonucleoprotein complex --&gt; associates with polysomes --&gt; inhibitor of translation --&gt; regulates protein synthesis dendrites --&gt; in fragile X: translation of certain messages may be exaggerated because the normal inhibition provided by FMRP is absent</w:t>
      </w:r>
    </w:p>
    <w:p>
      <w:r>
        <w:t>-FXTAS and POI resulting from FMR1 premutations may be manifestations of RNA-mediated toxicity due to increased FMR1 expression</w:t>
      </w:r>
    </w:p>
    <w:p>
      <w:r>
        <w:t>Genetic testing/diagnosis</w:t>
      </w:r>
    </w:p>
    <w:p>
      <w:r>
        <w:t>- &gt;99% with increased number of CGG trinucleotide repeats (typically &gt;200) --&gt; aberrant methylation of FMR1 promoter; del and SNVs variants can also cause fragile X syndrome</w:t>
      </w:r>
    </w:p>
    <w:p>
      <w:r>
        <w:t>-PCR for the CGG trinucleotide repeat --&gt; high sensitivity for normal and lower premutation range (≤100 to 120 repeats); less sensitive to larger premutations; fails to amplify full mutations</w:t>
      </w:r>
    </w:p>
    <w:p>
      <w:r>
        <w:t>-Southern blot analysis detects all FMR1 alleles including normal, larger-sized premutations, and full mutations and in addition determines methylation status of the FMR1 promoter region</w:t>
      </w:r>
    </w:p>
    <w:p>
      <w:r>
        <w:t>-Methylation can be assessed by PCR-based methods independent of the of CGG repeats</w:t>
      </w:r>
    </w:p>
    <w:p>
      <w:r>
        <w:t>Others</w:t>
      </w:r>
    </w:p>
    <w:p>
      <w:r>
        <w:t>-CGG repeats expand exclusively during transmission from female carriers</w:t>
      </w:r>
    </w:p>
    <w:p>
      <w:r>
        <w:t>-Risk for expansion depends on number of CGG repeats and presence of AGG triplets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