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Neurofibromatosis type I</w:t>
      </w:r>
    </w:p>
    <w:p>
      <w:r>
        <w:t>Genetics</w:t>
      </w:r>
    </w:p>
    <w:p>
      <w:r>
        <w:t>-NF1 (Neurofibromin, 17q11)</w:t>
      </w:r>
    </w:p>
    <w:p>
      <w:r>
        <w:t>-AD, 50% de novo</w:t>
      </w:r>
    </w:p>
    <w:p>
      <w:r>
        <w:t>Clinical findings/Dysmorphic features</w:t>
      </w:r>
    </w:p>
    <w:p>
      <w:r>
        <w:t>-Multiple café au lait spots; axillary and inguinal freckling; multiple cutaneous neurofibromas; Lisch nodules; choroidal freckling; plexiform neurofibromas (50%); learning disabilities (50%)</w:t>
      </w:r>
    </w:p>
    <w:p>
      <w:r>
        <w:t>-Less common but serious: optic nerve and other central nervous system gliomas, malignant peripheral nerve sheath tumors, scoliosis, tibial dysplasia, vasculopathy</w:t>
      </w:r>
    </w:p>
    <w:p>
      <w:r>
        <w:t>Etiology</w:t>
      </w:r>
    </w:p>
    <w:p>
      <w:r>
        <w:t xml:space="preserve">-Most common dominantly inherited genetic disorder: incidence 1:3000 </w:t>
      </w:r>
    </w:p>
    <w:p>
      <w:r>
        <w:t>Pathogenesis</w:t>
      </w:r>
    </w:p>
    <w:p>
      <w:r>
        <w:t xml:space="preserve">-Neurofibromin GTPase-activating protein (GAP) that negatively regulates Ras pathway </w:t>
      </w:r>
    </w:p>
    <w:p>
      <w:r>
        <w:t>-Increases the hydrolysis of Ras-bound guanosine triphosphate (GTP) --&gt; controls proliferation/acts as a tumor suppressor</w:t>
      </w:r>
    </w:p>
    <w:p>
      <w:r>
        <w:t>Genetic testing/diagnosis</w:t>
      </w:r>
    </w:p>
    <w:p>
      <w:r>
        <w:t>-NIH diagnostic criteria are met in an individual who has ≥ 2 of:</w:t>
      </w:r>
    </w:p>
    <w:p>
      <w:r>
        <w:t>1) ≥ 6 café au lait macules (&gt;5 mm in prepubertal ind./&gt;15 mm in postpubertal ind.</w:t>
      </w:r>
    </w:p>
    <w:p>
      <w:r>
        <w:t>2) ≥ 2 neurofibromas of any type or one plexiform neurofibroma</w:t>
      </w:r>
    </w:p>
    <w:p>
      <w:r>
        <w:t>3) Freckling in the axillary or inguinal regions</w:t>
      </w:r>
    </w:p>
    <w:p>
      <w:r>
        <w:t>4) Optic glioma</w:t>
      </w:r>
    </w:p>
    <w:p>
      <w:r>
        <w:t>5) Two or more Lisch nodules (iris hamartomas)</w:t>
      </w:r>
    </w:p>
    <w:p>
      <w:r>
        <w:t>6) A distinctive osseous lesion such as sphenoid dysplasia or tibial pseudarthrosis</w:t>
      </w:r>
    </w:p>
    <w:p>
      <w:r>
        <w:t>7) A first-degree relative (parent, sib, or offspring) with NF1 as defined by the above criteria</w:t>
      </w:r>
    </w:p>
    <w:p>
      <w:r>
        <w:t>-Diagnosis usually based on clinical findings, molecular genetic testing is rarely needed, except: --&gt; NF1 is suspected but NIH diagnostic criteria not fulfilled</w:t>
      </w:r>
    </w:p>
    <w:p>
      <w:r>
        <w:t>--&gt; In child with serious tumor (e.g., optic glioma) in whom diagnosis would affect management --&gt; Prenatal or preimplantation genetic diagnosis in a current or future pregnancy</w:t>
      </w:r>
    </w:p>
    <w:p>
      <w:r>
        <w:t>--&gt; Spinal NF1 or NF1 c.2970-2972 delAAT pathogenic variant often do not meet criteria</w:t>
      </w:r>
    </w:p>
    <w:p>
      <w:r>
        <w:t>-&gt;500 mutations reported, usually unique to a particular family</w:t>
      </w:r>
    </w:p>
    <w:p>
      <w:r>
        <w:t>Others</w:t>
      </w:r>
    </w:p>
    <w:p>
      <w:r>
        <w:t>-Majority normal lifespan; surgery for bone malformations or painful or disfiguring tumors; MEK inhibitors for plexiform neurofibromas; risk of malignant peripheral nerve sheath tumors in adolescence and young adulthood</w:t>
      </w:r>
    </w:p>
    <w:p>
      <w:r>
        <w:t>-Vitamin D supplementation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