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Parkinson Disease (Parkin-type)</w:t>
      </w:r>
    </w:p>
    <w:p>
      <w:r>
        <w:t>Genetics</w:t>
        <w:br/>
        <w:t>-PRKN (formerly PARK2; parkin, only gene to cause parkin type of early-onset Parkinson)</w:t>
      </w:r>
    </w:p>
    <w:p>
      <w:r>
        <w:t>-AR</w:t>
      </w:r>
    </w:p>
    <w:p>
      <w:r>
        <w:t>Clinical findings/Dysmorphic features</w:t>
      </w:r>
    </w:p>
    <w:p>
      <w:r>
        <w:t>-Early onset (age &lt;40 years) or, rarely, juvenile onset (age &lt;20 years)</w:t>
      </w:r>
    </w:p>
    <w:p>
      <w:r>
        <w:t>-Lower-limb dystonia (muscles contract uncontrollably); hyperreflexia of lower extremities; well-preserved sense of smell; marked and sustained response to oral administration of levodopa; slow disease progression; absence of dementia in most cases (prevalence &lt;3%)</w:t>
      </w:r>
    </w:p>
    <w:p>
      <w:r>
        <w:t>Etiology</w:t>
      </w:r>
    </w:p>
    <w:p>
      <w:r>
        <w:t>-In Europe: parkin type of early-onset Parkinson disease accounts for ~50% of AR parkinsonism</w:t>
      </w:r>
    </w:p>
    <w:p>
      <w:r>
        <w:t>Pathogenesis</w:t>
      </w:r>
    </w:p>
    <w:p>
      <w:r>
        <w:t>-Parkin is E3 ubiquitin ligase --&gt; ubiquitination of proteins --&gt; proteasomal degradation</w:t>
      </w:r>
    </w:p>
    <w:p>
      <w:r>
        <w:t>-Parkin also mediates non-degradative modes of ubiquitination --&gt; required for survival of nigrostriatal dopaminergic neurons</w:t>
      </w:r>
    </w:p>
    <w:p>
      <w:r>
        <w:t>Genetic testing/diagnosis</w:t>
      </w:r>
    </w:p>
    <w:p>
      <w:r>
        <w:t>-Detection frequency is 80%-90% in familial cases with onset before age 20 years; lower than 10% in individuals with no family history and onset around age 40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