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Rett syndrome</w:t>
      </w:r>
    </w:p>
    <w:p>
      <w:r>
        <w:t>Genetics</w:t>
      </w:r>
    </w:p>
    <w:p>
      <w:r>
        <w:t>-Gene: MECP2 (MECP2, Xq28)</w:t>
      </w:r>
    </w:p>
    <w:p>
      <w:r>
        <w:t>-XLD; pathogenic variant in a male is presumed to most often be lethal (surviving males: severe neonatal encephalopathy; manic-depressive psychosis, pyramidal signs, Parkinsonian, macro-orchidism)</w:t>
      </w:r>
    </w:p>
    <w:p>
      <w:r>
        <w:t>-&gt;99% are simplex cases (i.e. single occurrence in family), resulting from de novo variant</w:t>
      </w:r>
    </w:p>
    <w:p>
      <w:r>
        <w:t>Clinical findings/Dysmorphic features</w:t>
      </w:r>
    </w:p>
    <w:p>
      <w:r>
        <w:t>-Spectrum in females: classic Rett, variant Rett, mild LD</w:t>
      </w:r>
    </w:p>
    <w:p>
      <w:r>
        <w:t xml:space="preserve">1) Classic: </w:t>
      </w:r>
    </w:p>
    <w:p>
      <w:r>
        <w:t>-Normal psychomotor development during first 6 - 18 months --&gt; short period of developmental stagnation --&gt; rapid regression in language and motor skills --&gt; followed by long-term stability</w:t>
      </w:r>
    </w:p>
    <w:p>
      <w:r>
        <w:t>-Repetitive, stereotypic hand movements replace purposeful hand use</w:t>
      </w:r>
    </w:p>
    <w:p>
      <w:r>
        <w:t>-Additional findings: fits of screaming, autistic features, panic attacks, episodic apnea and/or hyperpnea, gait ataxia and apraxia, tremors, seizures, acquired microcephaly</w:t>
      </w:r>
    </w:p>
    <w:p>
      <w:r>
        <w:t>2) Variant:</w:t>
      </w:r>
    </w:p>
    <w:p>
      <w:r>
        <w:t>-Clinically suspected but molecularly unconfirmed Angelman syndrome</w:t>
      </w:r>
    </w:p>
    <w:p>
      <w:r>
        <w:t>-Intellectual disability with spasticity/tremor, mild LD, rarely autism</w:t>
      </w:r>
    </w:p>
    <w:p>
      <w:r>
        <w:t>Etiology</w:t>
      </w:r>
    </w:p>
    <w:p>
      <w:r>
        <w:t>-Prevalence of Rett syndrome in females: 1:8,500 by age 15 years</w:t>
      </w:r>
    </w:p>
    <w:p>
      <w:r>
        <w:t>Pathogenesis</w:t>
      </w:r>
    </w:p>
    <w:p>
      <w:r>
        <w:t>-MECP2 binds methylated CpG islands</w:t>
      </w:r>
    </w:p>
    <w:p>
      <w:r>
        <w:t>-Decreased of LoF --&gt; Disruption of regulated gene expression during development</w:t>
      </w:r>
    </w:p>
    <w:p>
      <w:r>
        <w:t>-Ubiquitously expressed but predominantly neurologic phenotype --&gt; brain tissues more vulnerable or tissue-specific differences in MECP2 expression (alternate transcripts, differentially expressed in brain during development)</w:t>
      </w:r>
    </w:p>
    <w:p>
      <w:r>
        <w:t>Genetic testing/diagnosis</w:t>
      </w:r>
    </w:p>
    <w:p>
      <w:r>
        <w:t>-Sequencing of exons 1-4, followed by deletion/duplication if sequencing is normal</w:t>
      </w:r>
    </w:p>
    <w:p>
      <w:r>
        <w:t>-Testing of both parents for the identified sequence variation if VUS</w:t>
      </w:r>
    </w:p>
    <w:p>
      <w:r>
        <w:t>-Sequencing of MECP2 in classic Rett: 80%, In/Del: 8%</w:t>
      </w:r>
    </w:p>
    <w:p>
      <w:r>
        <w:t>Others</w:t>
      </w:r>
    </w:p>
    <w:p>
      <w:r>
        <w:t>-Germline mosaicism described</w:t>
      </w:r>
    </w:p>
    <w:p>
      <w:r>
        <w:t>-MECP2 microduplication syndrome (0.3 to 2.3 Mb) --&gt; infantile hypotonia, severe ID, absence of speech, progressive spasticity, recurrent respiratory infections, seizures</w:t>
      </w:r>
    </w:p>
    <w:p>
      <w:r>
        <w:t xml:space="preserve">-Phase I and II: administration of tri-peptide form of insulin-like growth factor, rhIGF-1 (mecasermin)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