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Limb-Girdle Muscular Dystrophy</w:t>
      </w:r>
    </w:p>
    <w:p>
      <w:r>
        <w:t>Genetics</w:t>
      </w:r>
    </w:p>
    <w:p>
      <w:r>
        <w:t>-Genes: CAPN3 (Calpain 3), FKRP (Fukutin related protein), LMNA (Lamin-A/C), SGCA/B/D/G (alpha/beta/delta/gamma-sarcoglycan), DYSF (Dysferlin)</w:t>
      </w:r>
    </w:p>
    <w:p>
      <w:r>
        <w:t>-Mainly AR, some AD</w:t>
      </w:r>
    </w:p>
    <w:p>
      <w:r>
        <w:t>Clinical findings/Dysmorphic features</w:t>
      </w:r>
    </w:p>
    <w:p>
      <w:r>
        <w:t xml:space="preserve">-AR Sarcoglycan-LGMD: proximal limb weakness, difficulty running/walking, calf hypertrophy, onset age 3-15 (68% of childhood onset, 10% adult onset) </w:t>
      </w:r>
    </w:p>
    <w:p>
      <w:r>
        <w:t>-AR Calpain-LGMD: proximal limb weakness, difficulty running and walking, calf atrophy, onset 2-40 yrs (10-30% AR LGMD)</w:t>
      </w:r>
    </w:p>
    <w:p>
      <w:r>
        <w:t>-AR Dysferlin-LGMD: problems running/walking, foot drop, distal and/or pelvic weakness, transient calf hypertrophy, onset 17-23 yrs</w:t>
      </w:r>
    </w:p>
    <w:p>
      <w:r>
        <w:t>Etiology</w:t>
      </w:r>
    </w:p>
    <w:p>
      <w:r>
        <w:t>-1 in 14,500 to 1 in 123,000 individuals</w:t>
      </w:r>
    </w:p>
    <w:p>
      <w:r>
        <w:t>Pathogenesis</w:t>
      </w:r>
    </w:p>
    <w:p>
      <w:r>
        <w:t>-Sarcoglycanopathies: disruption of dystrophin-dystroglycan complex</w:t>
      </w:r>
    </w:p>
    <w:p>
      <w:r>
        <w:t>-Calpainopathy: impairment of calpain proteolytic activity results in sarcomere remodeling by promoting ubiquitin-mediated degradation of sarcomeric proteins</w:t>
      </w:r>
    </w:p>
    <w:p>
      <w:r>
        <w:t>-Dysferlinopathy: disruption of muscle membrane repair machinery is responsible for dysferlin-deficient muscle degeneration in dysferlin-null mice</w:t>
      </w:r>
    </w:p>
    <w:p>
      <w:r>
        <w:t>Genetic testing/diagnosis</w:t>
      </w:r>
    </w:p>
    <w:p>
      <w:r>
        <w:t>-Inc. serum CK, dystrophic changes on muscle biopsy, sarcoglycan protein staining</w:t>
      </w:r>
    </w:p>
    <w:p>
      <w:r>
        <w:t>-Gene sequencing (80-99%)</w:t>
      </w:r>
    </w:p>
    <w:p>
      <w:r>
        <w:t>Others</w:t>
      </w:r>
    </w:p>
    <w:p>
      <w:r>
        <w:t>-Supportive care to promote mobility and ambulation</w:t>
      </w:r>
    </w:p>
    <w:p>
      <w:r>
        <w:t>-Monitor for respiratory and orthopedic complications and for cardiomyopathy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