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Spinal muscular atrophy</w:t>
      </w:r>
    </w:p>
    <w:p>
      <w:r>
        <w:t>Genetics</w:t>
      </w:r>
    </w:p>
    <w:p>
      <w:r>
        <w:t>-Genes: SMN1 (SMNT), SMN2 (SMNC) (survival motor neuron protein 1 and 2; 5q12.2-q13.3)</w:t>
      </w:r>
    </w:p>
    <w:p>
      <w:r>
        <w:t>-AR</w:t>
      </w:r>
    </w:p>
    <w:p>
      <w:r>
        <w:t>Clinical findings/Dysmorphic features</w:t>
      </w:r>
    </w:p>
    <w:p>
      <w:r>
        <w:t>-Arthrogryposis multiplex congenita (congenital joint contracture in &gt;2 areas of body)</w:t>
      </w:r>
    </w:p>
    <w:p>
      <w:r>
        <w:t xml:space="preserve">-Progressive degeneration and loss of anterior horn cells in the spinal cord (i.e. lower motor neurons) and the brain stem nuclei --&gt; muscle weakness and atrophy </w:t>
      </w:r>
    </w:p>
    <w:p>
      <w:r>
        <w:t>-Onset of weakness ranges from before birth to adolescence/young adulthood</w:t>
      </w:r>
    </w:p>
    <w:p>
      <w:r>
        <w:t>-Weakness is symmetric, progressive, proximal &gt; distal</w:t>
      </w:r>
    </w:p>
    <w:p>
      <w:r>
        <w:t>-SMN1-associated SMA spans a continuum without clear delineation of subtypes</w:t>
      </w:r>
    </w:p>
    <w:p>
      <w:r>
        <w:t>-Complications: poor weight gain, FTT, restrictive lung disease, scoliosis, joint contractures</w:t>
      </w:r>
    </w:p>
    <w:p>
      <w:r>
        <w:t>-Loss of deep tendon reflexes</w:t>
      </w:r>
    </w:p>
    <w:p>
      <w:r>
        <w:t>Etiology</w:t>
      </w:r>
    </w:p>
    <w:p>
      <w:r>
        <w:t>-Incidence 4-10 in 100,000; Carrier frequency: 1:50 – 1:100</w:t>
      </w:r>
    </w:p>
    <w:p>
      <w:r>
        <w:t>Pathogenesis</w:t>
      </w:r>
    </w:p>
    <w:p>
      <w:r>
        <w:t>-Role for SMN protein in snRNPs (small nuclear ribonuclear proteins) biogenesis and function</w:t>
      </w:r>
    </w:p>
    <w:p>
      <w:r>
        <w:t>-Reduced SMN lowers the capacity of cells to assemble snRNPs --&gt; altered levels of spliceosomal components and defects in splicing --&gt; impaired production of specific mRNAs and proteins</w:t>
      </w:r>
    </w:p>
    <w:p>
      <w:r>
        <w:t>Genetic testing/diagnosis</w:t>
      </w:r>
    </w:p>
    <w:p>
      <w:r>
        <w:t>-Targeted analysis: deletion of SMN1 exon 7 deletion (95-98%), SMN1 sequencing (2-5%)</w:t>
      </w:r>
    </w:p>
    <w:p>
      <w:r>
        <w:t>-Carriers with 2 SMN1 in cis (~4% of the population) will be misdiagnosed as non-carriers</w:t>
      </w:r>
    </w:p>
    <w:p>
      <w:r>
        <w:t>-Quantitative PCR and MLPA to detect single-exon deletions or duplications (SMN1 and SMN2 are nearly identical --&gt; gene-targeted microarray cannot be used to determine copy number)</w:t>
      </w:r>
    </w:p>
    <w:p>
      <w:r>
        <w:t>-SMN1 sequencing cannot determine whether an inactivating variant is in SMN1 or SMN2 --&gt;</w:t>
      </w:r>
    </w:p>
    <w:p>
      <w:r>
        <w:t>1) Establish that the inactivating variant has previously been reported in SMN1</w:t>
      </w:r>
    </w:p>
    <w:p>
      <w:r>
        <w:t>2) Sequence a long-range PCR product or a subclone of SMN1</w:t>
      </w:r>
    </w:p>
    <w:p>
      <w:r>
        <w:t>Others</w:t>
      </w:r>
    </w:p>
    <w:p>
      <w:r>
        <w:t>-Increase in SMN2 copies often improves phenotype; absence of both SMN genes --&gt; lethal</w:t>
      </w:r>
    </w:p>
    <w:p>
      <w:r>
        <w:t>-SMN2 predominantly produces protein that is lacking in exon 7 (splice site variant in SMN2)</w:t>
      </w:r>
    </w:p>
    <w:p>
      <w:r>
        <w:t>-Treatment: SPINRAZA® (nusinersen); ASO targeted to SMN2 --&gt; increased exon 7 inclusion</w:t>
      </w:r>
    </w:p>
    <w:p>
      <w:r>
        <w:t>-Newborn with weakness, hypotonia, absent reflexes, and tongue fasciculations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