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Li-Fraumeni Syndrome</w:t>
      </w:r>
    </w:p>
    <w:p>
      <w:r>
        <w:t>Genetics</w:t>
      </w:r>
    </w:p>
    <w:p>
      <w:r>
        <w:t>-Gene: TP53 (Cellular tumor antigen P53; 17p13)</w:t>
      </w:r>
    </w:p>
    <w:p>
      <w:r>
        <w:t>-AD (7-20% de novo)</w:t>
      </w:r>
    </w:p>
    <w:p>
      <w:r>
        <w:t>Clinical findings/Dysmorphic features</w:t>
      </w:r>
    </w:p>
    <w:p>
      <w:r>
        <w:t>-Cancer predisposition syndrome: 1) soft tissue sarcoma; 2) osteosarcoma; 3) pre-menopausal breast cancer; 4) brain tumors (including choroid plexus carcinoma); 5) adrenocortical carcinoma (ACC); 6) leukemias</w:t>
      </w:r>
    </w:p>
    <w:p>
      <w:r>
        <w:t>-LFS-related cancers often occur in childhood or young adulthood</w:t>
      </w:r>
    </w:p>
    <w:p>
      <w:r>
        <w:t>Etiology</w:t>
      </w:r>
    </w:p>
    <w:p>
      <w:r>
        <w:t>-Frequency of germline TP53 mutation may be as high as 1:5,000 to 1:20,000</w:t>
      </w:r>
    </w:p>
    <w:p>
      <w:r>
        <w:t>Pathogenesis</w:t>
      </w:r>
    </w:p>
    <w:p>
      <w:r>
        <w:t>-P53 is an important TF --&gt; in response to cellular stress/damage, p53 gets activated --&gt; regulates target genes to induce the following processes: cell cycle arrest, apoptosis, senescence, DNA repair</w:t>
      </w:r>
    </w:p>
    <w:p>
      <w:r>
        <w:t>-Absent p53 --&gt; DNA-damaged cells survive and proliferate --&gt; diverse number of malignancies</w:t>
      </w:r>
    </w:p>
    <w:p>
      <w:r>
        <w:t>Genetic testing/diagnosis</w:t>
      </w:r>
    </w:p>
    <w:p>
      <w:r>
        <w:t>-Diagnosis by presence of all of the following criteria: 1) Proband with a sarcoma (soft tissue tumor) diagnosed before age 45 years; 2) 1st-degree relative with any cancer before age 45 years 3) 1st or 2nd-degree relative with any cancer before age 45 years or a sarcoma at any age</w:t>
      </w:r>
    </w:p>
    <w:p>
      <w:r>
        <w:t>-80% of families with features of LFS have identifiable TP53 pathogenic variant</w:t>
      </w:r>
    </w:p>
    <w:p>
      <w:r>
        <w:t>-TP53: seq 95%, In/Del 1%</w:t>
      </w:r>
    </w:p>
    <w:p>
      <w:r>
        <w:t>Others</w:t>
      </w:r>
    </w:p>
    <w:p>
      <w:r>
        <w:t>-Surveillance:</w:t>
      </w:r>
    </w:p>
    <w:p>
      <w:r>
        <w:t>1) Children and adults undergo comprehensive annual physical examination</w:t>
      </w:r>
    </w:p>
    <w:p>
      <w:r>
        <w:t>2) Children and adults should see physician promptly for lingering symptoms and illnesses</w:t>
      </w:r>
    </w:p>
    <w:p>
      <w:r>
        <w:t xml:space="preserve">3) Women undergo breast cancer monitoring, with annual breast MRI and twice annual clinical breast examination beginning at age 20-25 years (mammograms = radiation risk) </w:t>
      </w:r>
    </w:p>
    <w:p>
      <w:r>
        <w:t>4) Adults consider routine screening for colorectal cancer with colonoscopy every 2-3 years beginning no later than age 25 years</w:t>
      </w:r>
    </w:p>
    <w:p>
      <w:r>
        <w:t>5) Individuals consider organ-targeted surveillance based on pattern of cancer in their family</w:t>
      </w:r>
    </w:p>
    <w:p>
      <w:r>
        <w:t>-Intensified surveillance with whole-body MRI for adults/children are being evaluated in investigational settings</w:t>
      </w:r>
    </w:p>
    <w:p>
      <w:r>
        <w:t>-NCCN suggests TP53 testing for any woman with breast cancer &lt; 35 if BRCA1/2 is negative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