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E822C" w14:textId="5E8D00AB" w:rsidR="000F29A7" w:rsidRDefault="000F29A7">
      <w:r>
        <w:t xml:space="preserve">Presentation </w:t>
      </w:r>
    </w:p>
    <w:p w14:paraId="58FB7A9B" w14:textId="77777777" w:rsidR="008316E4" w:rsidRPr="008316E4" w:rsidRDefault="008316E4" w:rsidP="008316E4">
      <w:pPr>
        <w:rPr>
          <w:b/>
          <w:bCs/>
        </w:rPr>
      </w:pPr>
      <w:r w:rsidRPr="008316E4">
        <w:rPr>
          <w:b/>
          <w:bCs/>
        </w:rPr>
        <w:t>1. Platform summary</w:t>
      </w:r>
    </w:p>
    <w:p w14:paraId="429B81A6" w14:textId="0551801E" w:rsidR="008316E4" w:rsidRPr="008316E4" w:rsidRDefault="000813AD" w:rsidP="008316E4">
      <w:r w:rsidRPr="000813AD">
        <w:rPr>
          <w:b/>
          <w:bCs/>
        </w:rPr>
        <w:br/>
        <w:t>Forecast Improvement Platform</w:t>
      </w:r>
      <w:r w:rsidR="008316E4" w:rsidRPr="008316E4">
        <w:rPr>
          <w:b/>
          <w:bCs/>
        </w:rPr>
        <w:t xml:space="preserve"> is a forecasting improvement platform that compares multiple estimation models against a governed baseline. The goal is not to automatically replace the current model, but to evaluate evidence, identify challengers, and suggest better forecasting alternatives under controlled governance rules. The dashboard makes model performance, risks, and explanations easy to visualize in a fast, traceable, read-only experience. In addition, an AI-powered assistant consumes the governed artifacts to generate grounded explanations, turning forecasting data into governed insights that support better capacity decisions.</w:t>
      </w:r>
    </w:p>
    <w:p w14:paraId="62C99066" w14:textId="77777777" w:rsidR="008316E4" w:rsidRPr="008316E4" w:rsidRDefault="008316E4" w:rsidP="008316E4">
      <w:r w:rsidRPr="008316E4">
        <w:pict w14:anchorId="6D83F52A">
          <v:rect id="_x0000_i1061" style="width:0;height:1.5pt" o:hralign="center" o:hrstd="t" o:hr="t" fillcolor="#a0a0a0" stroked="f"/>
        </w:pict>
      </w:r>
    </w:p>
    <w:p w14:paraId="69B583C0" w14:textId="77777777" w:rsidR="008316E4" w:rsidRPr="008316E4" w:rsidRDefault="008316E4" w:rsidP="008316E4">
      <w:pPr>
        <w:rPr>
          <w:b/>
          <w:bCs/>
        </w:rPr>
      </w:pPr>
      <w:r w:rsidRPr="008316E4">
        <w:rPr>
          <w:b/>
          <w:bCs/>
        </w:rPr>
        <w:t>2. Model comparison and champion selection</w:t>
      </w:r>
    </w:p>
    <w:p w14:paraId="738C4FC3" w14:textId="42B1E82A" w:rsidR="008316E4" w:rsidRPr="008316E4" w:rsidRDefault="008316E4" w:rsidP="008316E4">
      <w:r w:rsidRPr="008316E4">
        <w:rPr>
          <w:b/>
          <w:bCs/>
        </w:rPr>
        <w:t>AEGIS moves from comparing multiple forecasting models to selecting a governed champion. The purpose is to evaluate baseline, statistical, machine learning, and deep learning models under the same evidence-based framework, using accuracy, robustness, and consistency metrics. The output is a transparent champion selection process that feeds the dashboard with rankings, performance evidence, governed insights, and artifact-based explanations for users.</w:t>
      </w:r>
    </w:p>
    <w:p w14:paraId="68DCE512" w14:textId="77777777" w:rsidR="008316E4" w:rsidRPr="008316E4" w:rsidRDefault="008316E4" w:rsidP="008316E4">
      <w:r w:rsidRPr="008316E4">
        <w:pict w14:anchorId="7A61438A">
          <v:rect id="_x0000_i1062" style="width:0;height:1.5pt" o:hralign="center" o:hrstd="t" o:hr="t" fillcolor="#a0a0a0" stroked="f"/>
        </w:pict>
      </w:r>
    </w:p>
    <w:p w14:paraId="7D4CDFD7" w14:textId="77777777" w:rsidR="008316E4" w:rsidRPr="008316E4" w:rsidRDefault="008316E4" w:rsidP="008316E4">
      <w:pPr>
        <w:rPr>
          <w:b/>
          <w:bCs/>
        </w:rPr>
      </w:pPr>
      <w:r w:rsidRPr="008316E4">
        <w:rPr>
          <w:b/>
          <w:bCs/>
        </w:rPr>
        <w:t>3. Internal architecture and speed</w:t>
      </w:r>
    </w:p>
    <w:p w14:paraId="0934486D" w14:textId="4FF42DFD" w:rsidR="008316E4" w:rsidRPr="008316E4" w:rsidRDefault="002F0FE7" w:rsidP="008316E4">
      <w:r>
        <w:rPr>
          <w:b/>
          <w:bCs/>
        </w:rPr>
        <w:t>T</w:t>
      </w:r>
      <w:r w:rsidR="008316E4" w:rsidRPr="008316E4">
        <w:rPr>
          <w:b/>
          <w:bCs/>
        </w:rPr>
        <w:t>he internal architecture that makes AEGIS fast. All the heavy work—data ingestion, transformations, model execution, evaluations, governance gates, and champion selection—happens offline before the dashboard is used. The dashboard only reads pre-computed, validated, versioned CSV artifacts; it does not join, aggregate, recalculate, or train anything at runtime. That artifacts-first design keeps the experience lightweight and fast, while also allowing the AI assistant to explain results using only governed evidence.</w:t>
      </w:r>
    </w:p>
    <w:p w14:paraId="35CB20E4" w14:textId="77777777" w:rsidR="008316E4" w:rsidRPr="008316E4" w:rsidRDefault="008316E4" w:rsidP="008316E4">
      <w:r w:rsidRPr="008316E4">
        <w:pict w14:anchorId="00690BEF">
          <v:rect id="_x0000_i1063" style="width:0;height:1.5pt" o:hralign="center" o:hrstd="t" o:hr="t" fillcolor="#a0a0a0" stroked="f"/>
        </w:pict>
      </w:r>
    </w:p>
    <w:p w14:paraId="4CB99382" w14:textId="77777777" w:rsidR="008316E4" w:rsidRPr="008316E4" w:rsidRDefault="008316E4" w:rsidP="008316E4">
      <w:pPr>
        <w:rPr>
          <w:b/>
          <w:bCs/>
        </w:rPr>
      </w:pPr>
      <w:r w:rsidRPr="008316E4">
        <w:rPr>
          <w:b/>
          <w:bCs/>
        </w:rPr>
        <w:t>4. Technology stack and AI-powered experience</w:t>
      </w:r>
    </w:p>
    <w:p w14:paraId="065CC36A" w14:textId="3E91F4BB" w:rsidR="008316E4" w:rsidRPr="008316E4" w:rsidRDefault="0010629C" w:rsidP="008316E4">
      <w:r>
        <w:rPr>
          <w:b/>
          <w:bCs/>
        </w:rPr>
        <w:t>T</w:t>
      </w:r>
      <w:r w:rsidR="008316E4" w:rsidRPr="008316E4">
        <w:rPr>
          <w:b/>
          <w:bCs/>
        </w:rPr>
        <w:t xml:space="preserve">he full AEGIS technology stack. Python handles the modeling and forecasting work, producing governed CSV artifacts such as forecasts, actuals, rankings, tournament results, and governance records. Shiny provides the interactive dashboard experience </w:t>
      </w:r>
      <w:r w:rsidR="008316E4" w:rsidRPr="008316E4">
        <w:rPr>
          <w:b/>
          <w:bCs/>
        </w:rPr>
        <w:lastRenderedPageBreak/>
        <w:t>on top of those artifacts, with fast charts, filters, and downloads. On top of that, an AI-powered assistant consumes the governed artifacts to answer questions and explain results in natural language, while remaining grounded in validated evidence. The key point is that AEGIS combines Python’s modeling power, Shiny’s user experience, and AI-based explanations while keeping the dashboard read-only, fast, and governed.</w:t>
      </w:r>
    </w:p>
    <w:p w14:paraId="614BC73D" w14:textId="77777777" w:rsidR="0024731C" w:rsidRDefault="0024731C" w:rsidP="0024731C"/>
    <w:p w14:paraId="089DAED8" w14:textId="77777777" w:rsidR="0024731C" w:rsidRDefault="0024731C" w:rsidP="0024731C"/>
    <w:p w14:paraId="5463A727" w14:textId="33276014" w:rsidR="006F119D" w:rsidRDefault="002739E0" w:rsidP="0024731C">
      <w:r>
        <w:br/>
      </w:r>
    </w:p>
    <w:p w14:paraId="38B97FD0" w14:textId="4DF489BB" w:rsidR="00EF1B60" w:rsidRDefault="000F29A7">
      <w:pPr>
        <w:rPr>
          <w:b/>
          <w:bCs/>
        </w:rPr>
      </w:pPr>
      <w:r>
        <w:br/>
      </w:r>
      <w:r>
        <w:br/>
      </w:r>
      <w:r w:rsidR="000F4811" w:rsidRPr="000F4811">
        <w:t>AEGIS Forecast Improvement Dashboard: From Forecasting Data to Governed Insights</w:t>
      </w:r>
      <w:r w:rsidR="000F4811" w:rsidRPr="000F4811">
        <w:rPr>
          <w:b/>
          <w:bCs/>
        </w:rPr>
        <w:t>”</w:t>
      </w:r>
      <w:r w:rsidR="00055D59">
        <w:rPr>
          <w:b/>
          <w:bCs/>
        </w:rPr>
        <w:br/>
      </w:r>
      <w:r w:rsidR="00055D59">
        <w:rPr>
          <w:b/>
          <w:bCs/>
        </w:rPr>
        <w:br/>
      </w:r>
      <w:r w:rsidR="00055D59">
        <w:rPr>
          <w:b/>
          <w:bCs/>
        </w:rPr>
        <w:br/>
        <w:t xml:space="preserve">1. </w:t>
      </w:r>
      <w:r w:rsidR="006272C6">
        <w:rPr>
          <w:b/>
          <w:bCs/>
        </w:rPr>
        <w:t>To Start</w:t>
      </w:r>
    </w:p>
    <w:p w14:paraId="16111968" w14:textId="40B2F033" w:rsidR="006272C6" w:rsidRPr="006272C6" w:rsidRDefault="006272C6">
      <w:r w:rsidRPr="006272C6">
        <w:t>The Home page is the entry point of the dashboard. It explains the purpose of AEGIS and helps users navigate the app. It includes usability features like dark/light mode, a collapsible menu, floating guides, and section-specific help buttons such as Home Guide, so users can quickly understand what each area is about.</w:t>
      </w:r>
    </w:p>
    <w:p w14:paraId="29ED5819" w14:textId="77777777" w:rsidR="00653261" w:rsidRPr="00653261" w:rsidRDefault="006272C6" w:rsidP="00653261">
      <w:r>
        <w:br/>
      </w:r>
      <w:r w:rsidR="003251A9" w:rsidRPr="00D76F98">
        <w:rPr>
          <w:b/>
          <w:bCs/>
        </w:rPr>
        <w:t>2. Oviervew</w:t>
      </w:r>
      <w:r w:rsidR="008A3C8E">
        <w:br/>
      </w:r>
      <w:r w:rsidR="008A3C8E">
        <w:br/>
      </w:r>
      <w:r w:rsidR="008A3C8E" w:rsidRPr="008A3C8E">
        <w:t>The Overview page gives a quick executive summary of the project. It explains the three main pillars: the governed champion model, the forecast evidence base, and the governance status.</w:t>
      </w:r>
      <w:r w:rsidR="008A3C8E" w:rsidRPr="008A3C8E">
        <w:br/>
        <w:t>Nothing is recalculated here; it only reads from validated artifacts and audit outputs.</w:t>
      </w:r>
      <w:r w:rsidR="008A3C8E" w:rsidRPr="008A3C8E">
        <w:br/>
        <w:t>This section is useful for decision makers who want the main message before going into the detailed model, forecast, or governance pages.</w:t>
      </w:r>
      <w:r w:rsidR="008A3C8E">
        <w:br/>
      </w:r>
      <w:r w:rsidR="008A3C8E">
        <w:br/>
      </w:r>
      <w:r w:rsidR="008A3C8E" w:rsidRPr="00D76F98">
        <w:rPr>
          <w:b/>
          <w:bCs/>
        </w:rPr>
        <w:t xml:space="preserve">3. </w:t>
      </w:r>
      <w:r w:rsidR="00653261" w:rsidRPr="00D76F98">
        <w:rPr>
          <w:b/>
          <w:bCs/>
        </w:rPr>
        <w:t>Models</w:t>
      </w:r>
      <w:r w:rsidR="00653261">
        <w:br/>
      </w:r>
      <w:r w:rsidR="00653261">
        <w:br/>
      </w:r>
      <w:r w:rsidR="00653261" w:rsidRPr="00653261">
        <w:rPr>
          <w:b/>
          <w:bCs/>
        </w:rPr>
        <w:t>Universe</w:t>
      </w:r>
    </w:p>
    <w:p w14:paraId="1159774C" w14:textId="77777777" w:rsidR="00653261" w:rsidRPr="00653261" w:rsidRDefault="00653261" w:rsidP="00653261">
      <w:r w:rsidRPr="00653261">
        <w:t>This section shows the full model universe being compared. It groups the 15 models into baseline, statistical, machine learning, and deep learning families, so users can understand what methods are part of the evaluation.</w:t>
      </w:r>
    </w:p>
    <w:p w14:paraId="30426BA3" w14:textId="77777777" w:rsidR="00653261" w:rsidRPr="00653261" w:rsidRDefault="00653261" w:rsidP="00653261">
      <w:r w:rsidRPr="00653261">
        <w:rPr>
          <w:b/>
          <w:bCs/>
        </w:rPr>
        <w:lastRenderedPageBreak/>
        <w:t>Tournament</w:t>
      </w:r>
    </w:p>
    <w:p w14:paraId="7F281B8F" w14:textId="77777777" w:rsidR="00653261" w:rsidRPr="00653261" w:rsidRDefault="00653261" w:rsidP="00653261">
      <w:r w:rsidRPr="00653261">
        <w:t>The Tournament compares the models using governed accuracy and goodness-of-fit metrics. The goal is not to automatically pick a new winner, but to show evidence on how each model performs across the series.</w:t>
      </w:r>
    </w:p>
    <w:p w14:paraId="40B64ADD" w14:textId="77777777" w:rsidR="00653261" w:rsidRPr="00653261" w:rsidRDefault="00653261" w:rsidP="00653261">
      <w:r w:rsidRPr="00653261">
        <w:rPr>
          <w:b/>
          <w:bCs/>
        </w:rPr>
        <w:t>Champion</w:t>
      </w:r>
    </w:p>
    <w:p w14:paraId="2C62DB53" w14:textId="77777777" w:rsidR="00653261" w:rsidRPr="00653261" w:rsidRDefault="00653261" w:rsidP="00653261">
      <w:r w:rsidRPr="00653261">
        <w:t xml:space="preserve">The Champion page explains the governed model decision. In this version, </w:t>
      </w:r>
      <w:r w:rsidRPr="00653261">
        <w:rPr>
          <w:b/>
          <w:bCs/>
        </w:rPr>
        <w:t>ETS Explicit</w:t>
      </w:r>
      <w:r w:rsidRPr="00653261">
        <w:t xml:space="preserve"> remains the selected champion under conditions, while challengers are documented for review but not automatically promoted.</w:t>
      </w:r>
    </w:p>
    <w:p w14:paraId="37163FD1" w14:textId="77777777" w:rsidR="00CE4971" w:rsidRDefault="00CE4971" w:rsidP="00FD6987"/>
    <w:p w14:paraId="5D2AB0A2" w14:textId="30F8F68B" w:rsidR="00FD6987" w:rsidRPr="00FD6987" w:rsidRDefault="000F29A7" w:rsidP="00FD6987">
      <w:r>
        <w:br/>
      </w:r>
      <w:r>
        <w:br/>
      </w:r>
      <w:r w:rsidR="00FD6987">
        <w:br/>
      </w:r>
      <w:r w:rsidR="00FD6987" w:rsidRPr="00D76F98">
        <w:rPr>
          <w:b/>
          <w:bCs/>
        </w:rPr>
        <w:t>4. Forecasting</w:t>
      </w:r>
      <w:r w:rsidR="00FD6987">
        <w:br/>
      </w:r>
      <w:r w:rsidR="00FD6987">
        <w:br/>
      </w:r>
      <w:r w:rsidR="00FD6987" w:rsidRPr="00FD6987">
        <w:rPr>
          <w:b/>
          <w:bCs/>
        </w:rPr>
        <w:t>Viewer</w:t>
      </w:r>
    </w:p>
    <w:p w14:paraId="49C729A4" w14:textId="77777777" w:rsidR="00FD6987" w:rsidRPr="00FD6987" w:rsidRDefault="00FD6987" w:rsidP="00FD6987">
      <w:r w:rsidRPr="00FD6987">
        <w:t>The Viewer lets users explore the forecast outputs by entity, model, and horizon. It is useful to compare how different models behave over time without recalculating anything in the dashboard.</w:t>
      </w:r>
    </w:p>
    <w:p w14:paraId="78955CE7" w14:textId="77777777" w:rsidR="00FD6987" w:rsidRPr="00FD6987" w:rsidRDefault="00FD6987" w:rsidP="00FD6987">
      <w:r w:rsidRPr="00FD6987">
        <w:rPr>
          <w:b/>
          <w:bCs/>
        </w:rPr>
        <w:t>Accuracy</w:t>
      </w:r>
    </w:p>
    <w:p w14:paraId="151A1271" w14:textId="77777777" w:rsidR="00FD6987" w:rsidRPr="00FD6987" w:rsidRDefault="00FD6987" w:rsidP="00FD6987">
      <w:r w:rsidRPr="00FD6987">
        <w:t>The Accuracy page summarizes model performance using governed metrics. It helps identify where models are performing better or worse, and supports the model comparison process.</w:t>
      </w:r>
    </w:p>
    <w:p w14:paraId="24422ABB" w14:textId="77777777" w:rsidR="00FD6987" w:rsidRPr="00FD6987" w:rsidRDefault="00FD6987" w:rsidP="00FD6987">
      <w:r w:rsidRPr="00FD6987">
        <w:rPr>
          <w:b/>
          <w:bCs/>
        </w:rPr>
        <w:t>Forecast</w:t>
      </w:r>
    </w:p>
    <w:p w14:paraId="196E0BD2" w14:textId="77777777" w:rsidR="00FD6987" w:rsidRPr="00FD6987" w:rsidRDefault="00FD6987" w:rsidP="00FD6987">
      <w:r w:rsidRPr="00FD6987">
        <w:t>The Forecast page shows the forward-looking forecast results, including intervals where available. This helps users understand the expected trend and the uncertainty around the forecast.</w:t>
      </w:r>
    </w:p>
    <w:p w14:paraId="2DC8407F" w14:textId="77777777" w:rsidR="00FD6987" w:rsidRPr="00FD6987" w:rsidRDefault="00FD6987" w:rsidP="00FD6987">
      <w:r w:rsidRPr="00FD6987">
        <w:rPr>
          <w:b/>
          <w:bCs/>
        </w:rPr>
        <w:t>TTL</w:t>
      </w:r>
    </w:p>
    <w:p w14:paraId="765F0D5E" w14:textId="77777777" w:rsidR="00FD6987" w:rsidRPr="00FD6987" w:rsidRDefault="00FD6987" w:rsidP="00FD6987">
      <w:r w:rsidRPr="00FD6987">
        <w:t>The TTL page is a capacity-style view that connects demand, supply, and months-to-live logic. In this version, it is a simulated/prototype view because the dashboard is not connected yet to the live TTL API, so it is mainly used to demonstrate how the analysis would look once real supply data is integrated.</w:t>
      </w:r>
    </w:p>
    <w:p w14:paraId="40264662" w14:textId="2D696F0A" w:rsidR="006272C6" w:rsidRPr="00D76F98" w:rsidRDefault="005575DD">
      <w:pPr>
        <w:rPr>
          <w:b/>
          <w:bCs/>
        </w:rPr>
      </w:pPr>
      <w:r>
        <w:lastRenderedPageBreak/>
        <w:br/>
      </w:r>
      <w:r w:rsidRPr="00D76F98">
        <w:rPr>
          <w:b/>
          <w:bCs/>
        </w:rPr>
        <w:t xml:space="preserve">5. </w:t>
      </w:r>
      <w:r w:rsidR="005310B7" w:rsidRPr="00D76F98">
        <w:rPr>
          <w:b/>
          <w:bCs/>
        </w:rPr>
        <w:t xml:space="preserve">Governance </w:t>
      </w:r>
    </w:p>
    <w:p w14:paraId="5B8F25F2" w14:textId="77777777" w:rsidR="005310B7" w:rsidRDefault="005310B7"/>
    <w:p w14:paraId="12C15AA1" w14:textId="77777777" w:rsidR="005310B7" w:rsidRPr="005310B7" w:rsidRDefault="005310B7" w:rsidP="005310B7">
      <w:r w:rsidRPr="005310B7">
        <w:rPr>
          <w:b/>
          <w:bCs/>
        </w:rPr>
        <w:t>Risks</w:t>
      </w:r>
    </w:p>
    <w:p w14:paraId="1EBE848B" w14:textId="77777777" w:rsidR="005310B7" w:rsidRPr="005310B7" w:rsidRDefault="005310B7" w:rsidP="005310B7">
      <w:r w:rsidRPr="005310B7">
        <w:t>The Risks page shows the main limitations and open risks of the forecasting improvement work. It helps users understand what still needs caution, follow-up, or future validation before any broader production use.</w:t>
      </w:r>
    </w:p>
    <w:p w14:paraId="0DEF88DD" w14:textId="77777777" w:rsidR="005310B7" w:rsidRPr="005310B7" w:rsidRDefault="005310B7" w:rsidP="005310B7">
      <w:r w:rsidRPr="005310B7">
        <w:rPr>
          <w:b/>
          <w:bCs/>
        </w:rPr>
        <w:t>Audit</w:t>
      </w:r>
    </w:p>
    <w:p w14:paraId="39623AE3" w14:textId="77777777" w:rsidR="005310B7" w:rsidRPr="005310B7" w:rsidRDefault="005310B7" w:rsidP="005310B7">
      <w:r w:rsidRPr="005310B7">
        <w:t>The Audit page documents the validation trail behind the dashboard: what checks passed, what artifacts were reviewed, and whether the system is ready under the defined conditions.</w:t>
      </w:r>
      <w:r w:rsidRPr="005310B7">
        <w:br/>
        <w:t>This is important because AEGIS is not only about forecasting accuracy, but also about making the process traceable and governed.</w:t>
      </w:r>
    </w:p>
    <w:p w14:paraId="3D5F5089" w14:textId="77777777" w:rsidR="00AC1757" w:rsidRPr="00AC1757" w:rsidRDefault="005310B7" w:rsidP="00AC1757">
      <w:r w:rsidRPr="00D76F98">
        <w:rPr>
          <w:b/>
          <w:bCs/>
        </w:rPr>
        <w:t>6. Reference</w:t>
      </w:r>
      <w:r>
        <w:t xml:space="preserve"> </w:t>
      </w:r>
      <w:r>
        <w:br/>
      </w:r>
      <w:r>
        <w:br/>
      </w:r>
      <w:r w:rsidR="00AC1757" w:rsidRPr="00AC1757">
        <w:rPr>
          <w:b/>
          <w:bCs/>
        </w:rPr>
        <w:t>Artifacts</w:t>
      </w:r>
    </w:p>
    <w:p w14:paraId="0CA15F1B" w14:textId="77777777" w:rsidR="00AC1757" w:rsidRPr="00AC1757" w:rsidRDefault="00AC1757" w:rsidP="00AC1757">
      <w:r w:rsidRPr="00AC1757">
        <w:t>The Artifacts page shows the governed files that feed the dashboard. It helps users understand where the numbers, rankings, risks, and summaries come from, and it also allows downloads in multiple formats.</w:t>
      </w:r>
    </w:p>
    <w:p w14:paraId="25CA3F4A" w14:textId="77777777" w:rsidR="00AC1757" w:rsidRPr="00AC1757" w:rsidRDefault="00AC1757" w:rsidP="00AC1757">
      <w:r w:rsidRPr="00AC1757">
        <w:rPr>
          <w:b/>
          <w:bCs/>
        </w:rPr>
        <w:t>Methodology</w:t>
      </w:r>
    </w:p>
    <w:p w14:paraId="5AEAC15D" w14:textId="77777777" w:rsidR="00AC1757" w:rsidRPr="00AC1757" w:rsidRDefault="00AC1757" w:rsidP="00AC1757">
      <w:r w:rsidRPr="00AC1757">
        <w:t>The Methodology page explains how the forecasting improvement process was designed: data preparation, model comparison, evaluation, governance, and dashboard consumption. It is the documentation layer behind the analysis.</w:t>
      </w:r>
    </w:p>
    <w:p w14:paraId="7B08F18F" w14:textId="77777777" w:rsidR="00AC1757" w:rsidRPr="00AC1757" w:rsidRDefault="00AC1757" w:rsidP="00AC1757">
      <w:r w:rsidRPr="00AC1757">
        <w:rPr>
          <w:b/>
          <w:bCs/>
        </w:rPr>
        <w:t>Version</w:t>
      </w:r>
    </w:p>
    <w:p w14:paraId="212806EB" w14:textId="77777777" w:rsidR="00AC1757" w:rsidRPr="00AC1757" w:rsidRDefault="00AC1757" w:rsidP="00AC1757">
      <w:r w:rsidRPr="00AC1757">
        <w:t>The Version page shows the current state of the dashboard, including update information, version status, and closure details. It helps confirm which version users are reviewing and whether the app is running from the latest governed artifacts.</w:t>
      </w:r>
    </w:p>
    <w:p w14:paraId="739F8CCC" w14:textId="179E248A" w:rsidR="005310B7" w:rsidRDefault="005310B7"/>
    <w:sectPr w:rsidR="005310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DC169" w14:textId="77777777" w:rsidR="00737936" w:rsidRDefault="00737936" w:rsidP="000F29A7">
      <w:pPr>
        <w:spacing w:after="0" w:line="240" w:lineRule="auto"/>
      </w:pPr>
      <w:r>
        <w:separator/>
      </w:r>
    </w:p>
  </w:endnote>
  <w:endnote w:type="continuationSeparator" w:id="0">
    <w:p w14:paraId="0C3D0665" w14:textId="77777777" w:rsidR="00737936" w:rsidRDefault="00737936" w:rsidP="000F2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91772" w14:textId="77777777" w:rsidR="00737936" w:rsidRDefault="00737936" w:rsidP="000F29A7">
      <w:pPr>
        <w:spacing w:after="0" w:line="240" w:lineRule="auto"/>
      </w:pPr>
      <w:r>
        <w:separator/>
      </w:r>
    </w:p>
  </w:footnote>
  <w:footnote w:type="continuationSeparator" w:id="0">
    <w:p w14:paraId="4813EA8F" w14:textId="77777777" w:rsidR="00737936" w:rsidRDefault="00737936" w:rsidP="000F29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12EC0"/>
    <w:multiLevelType w:val="hybridMultilevel"/>
    <w:tmpl w:val="B186F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851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E00"/>
    <w:rsid w:val="00055D59"/>
    <w:rsid w:val="000813AD"/>
    <w:rsid w:val="000F0EED"/>
    <w:rsid w:val="000F29A7"/>
    <w:rsid w:val="000F4811"/>
    <w:rsid w:val="0010629C"/>
    <w:rsid w:val="00110C94"/>
    <w:rsid w:val="0024731C"/>
    <w:rsid w:val="00272AF5"/>
    <w:rsid w:val="002739E0"/>
    <w:rsid w:val="002F0FE7"/>
    <w:rsid w:val="003251A9"/>
    <w:rsid w:val="004C2290"/>
    <w:rsid w:val="004C4387"/>
    <w:rsid w:val="005310B7"/>
    <w:rsid w:val="005575DD"/>
    <w:rsid w:val="006272C6"/>
    <w:rsid w:val="00653261"/>
    <w:rsid w:val="00683E00"/>
    <w:rsid w:val="006F119D"/>
    <w:rsid w:val="00737936"/>
    <w:rsid w:val="008316E4"/>
    <w:rsid w:val="008A3C8E"/>
    <w:rsid w:val="00964752"/>
    <w:rsid w:val="00AC1757"/>
    <w:rsid w:val="00CE4971"/>
    <w:rsid w:val="00D76F98"/>
    <w:rsid w:val="00E14A52"/>
    <w:rsid w:val="00E96673"/>
    <w:rsid w:val="00EF1B60"/>
    <w:rsid w:val="00F33B12"/>
    <w:rsid w:val="00FD6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79FC"/>
  <w15:chartTrackingRefBased/>
  <w15:docId w15:val="{3121148E-45A4-4CC3-8A97-20805184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E00"/>
    <w:rPr>
      <w:rFonts w:eastAsiaTheme="majorEastAsia" w:cstheme="majorBidi"/>
      <w:color w:val="272727" w:themeColor="text1" w:themeTint="D8"/>
    </w:rPr>
  </w:style>
  <w:style w:type="paragraph" w:styleId="Title">
    <w:name w:val="Title"/>
    <w:basedOn w:val="Normal"/>
    <w:next w:val="Normal"/>
    <w:link w:val="TitleChar"/>
    <w:uiPriority w:val="10"/>
    <w:qFormat/>
    <w:rsid w:val="00683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E00"/>
    <w:pPr>
      <w:spacing w:before="160"/>
      <w:jc w:val="center"/>
    </w:pPr>
    <w:rPr>
      <w:i/>
      <w:iCs/>
      <w:color w:val="404040" w:themeColor="text1" w:themeTint="BF"/>
    </w:rPr>
  </w:style>
  <w:style w:type="character" w:customStyle="1" w:styleId="QuoteChar">
    <w:name w:val="Quote Char"/>
    <w:basedOn w:val="DefaultParagraphFont"/>
    <w:link w:val="Quote"/>
    <w:uiPriority w:val="29"/>
    <w:rsid w:val="00683E00"/>
    <w:rPr>
      <w:i/>
      <w:iCs/>
      <w:color w:val="404040" w:themeColor="text1" w:themeTint="BF"/>
    </w:rPr>
  </w:style>
  <w:style w:type="paragraph" w:styleId="ListParagraph">
    <w:name w:val="List Paragraph"/>
    <w:basedOn w:val="Normal"/>
    <w:uiPriority w:val="34"/>
    <w:qFormat/>
    <w:rsid w:val="00683E00"/>
    <w:pPr>
      <w:ind w:left="720"/>
      <w:contextualSpacing/>
    </w:pPr>
  </w:style>
  <w:style w:type="character" w:styleId="IntenseEmphasis">
    <w:name w:val="Intense Emphasis"/>
    <w:basedOn w:val="DefaultParagraphFont"/>
    <w:uiPriority w:val="21"/>
    <w:qFormat/>
    <w:rsid w:val="00683E00"/>
    <w:rPr>
      <w:i/>
      <w:iCs/>
      <w:color w:val="0F4761" w:themeColor="accent1" w:themeShade="BF"/>
    </w:rPr>
  </w:style>
  <w:style w:type="paragraph" w:styleId="IntenseQuote">
    <w:name w:val="Intense Quote"/>
    <w:basedOn w:val="Normal"/>
    <w:next w:val="Normal"/>
    <w:link w:val="IntenseQuoteChar"/>
    <w:uiPriority w:val="30"/>
    <w:qFormat/>
    <w:rsid w:val="00683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E00"/>
    <w:rPr>
      <w:i/>
      <w:iCs/>
      <w:color w:val="0F4761" w:themeColor="accent1" w:themeShade="BF"/>
    </w:rPr>
  </w:style>
  <w:style w:type="character" w:styleId="IntenseReference">
    <w:name w:val="Intense Reference"/>
    <w:basedOn w:val="DefaultParagraphFont"/>
    <w:uiPriority w:val="32"/>
    <w:qFormat/>
    <w:rsid w:val="00683E00"/>
    <w:rPr>
      <w:b/>
      <w:bCs/>
      <w:smallCaps/>
      <w:color w:val="0F4761" w:themeColor="accent1" w:themeShade="BF"/>
      <w:spacing w:val="5"/>
    </w:rPr>
  </w:style>
  <w:style w:type="paragraph" w:styleId="Header">
    <w:name w:val="header"/>
    <w:basedOn w:val="Normal"/>
    <w:link w:val="HeaderChar"/>
    <w:uiPriority w:val="99"/>
    <w:unhideWhenUsed/>
    <w:rsid w:val="000F29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9A7"/>
  </w:style>
  <w:style w:type="paragraph" w:styleId="Footer">
    <w:name w:val="footer"/>
    <w:basedOn w:val="Normal"/>
    <w:link w:val="FooterChar"/>
    <w:uiPriority w:val="99"/>
    <w:unhideWhenUsed/>
    <w:rsid w:val="000F29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9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278</TotalTime>
  <Pages>4</Pages>
  <Words>920</Words>
  <Characters>5248</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Centeno Mora</dc:creator>
  <cp:keywords/>
  <dc:description/>
  <cp:lastModifiedBy>Oscar Centeno Mora</cp:lastModifiedBy>
  <cp:revision>26</cp:revision>
  <dcterms:created xsi:type="dcterms:W3CDTF">2026-06-30T23:31:00Z</dcterms:created>
  <dcterms:modified xsi:type="dcterms:W3CDTF">2026-07-21T00:25:00Z</dcterms:modified>
</cp:coreProperties>
</file>