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ptos Display" w:hAnsi="Aptos Display"/>
          <w:b/>
          <w:color w:val="17365D"/>
          <w:sz w:val="60"/>
        </w:rPr>
        <w:t>AEGIS Forecast Drift</w:t>
      </w:r>
    </w:p>
    <w:p>
      <w:pPr>
        <w:jc w:val="center"/>
      </w:pPr>
      <w:r>
        <w:rPr>
          <w:rFonts w:ascii="Aptos Display" w:hAnsi="Aptos Display"/>
          <w:color w:val="4472C4"/>
          <w:sz w:val="36"/>
        </w:rPr>
        <w:t>Final Delivery &amp; Handoff Package</w:t>
      </w:r>
    </w:p>
    <w:p>
      <w:pPr>
        <w:spacing w:before="280"/>
        <w:jc w:val="center"/>
      </w:pPr>
      <w:r>
        <w:rPr>
          <w:color w:val="5B6573"/>
          <w:sz w:val="23"/>
        </w:rPr>
        <w:t>Azure Managed Grafana deployment for governed forecast-drift monitoring</w:t>
      </w:r>
    </w:p>
    <w:p>
      <w:pPr>
        <w:jc w:val="center"/>
      </w:pPr>
      <w:r>
        <w:rPr>
          <w:color w:val="5B9BD5"/>
          <w:sz w:val="24"/>
        </w:rPr>
        <w:t>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val="single" w:sz="8" w:color="E2F0D9"/>
              <w:left w:val="single" w:sz="8" w:color="E2F0D9"/>
              <w:bottom w:val="single" w:sz="8" w:color="E2F0D9"/>
              <w:right w:val="single" w:sz="8" w:color="E2F0D9"/>
            </w:tcBorders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2E7D32"/>
                <w:sz w:val="21"/>
              </w:rPr>
              <w:t>READY FOR STAKEHOLDER REVIEW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12"/>
      </w:tblGrid>
      <w:tr>
        <w:tc>
          <w:tcPr>
            <w:tcW w:type="dxa" w:w="5083"/>
            <w:tcMar>
              <w:top w:w="75" w:type="dxa"/>
              <w:start w:w="90" w:type="dxa"/>
              <w:bottom w:w="75" w:type="dxa"/>
              <w:end w:w="90" w:type="dxa"/>
            </w:tcMar>
            <w:shd w:fill="D9EA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right"/>
            </w:pPr>
            <w:r>
              <w:rPr>
                <w:b/>
                <w:color w:val="1F4E79"/>
                <w:sz w:val="18"/>
              </w:rPr>
              <w:t>Prepared by</w:t>
            </w:r>
          </w:p>
        </w:tc>
        <w:tc>
          <w:tcPr>
            <w:tcW w:type="dxa" w:w="5083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9"/>
              </w:rPr>
              <w:t>Oscar Javier Centeno Mora</w:t>
            </w:r>
          </w:p>
        </w:tc>
      </w:tr>
      <w:tr>
        <w:tc>
          <w:tcPr>
            <w:tcW w:type="dxa" w:w="5083"/>
            <w:tcMar>
              <w:top w:w="75" w:type="dxa"/>
              <w:start w:w="90" w:type="dxa"/>
              <w:bottom w:w="75" w:type="dxa"/>
              <w:end w:w="90" w:type="dxa"/>
            </w:tcMar>
            <w:shd w:fill="D9EA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right"/>
            </w:pPr>
            <w:r>
              <w:rPr>
                <w:b/>
                <w:color w:val="1F4E79"/>
                <w:sz w:val="18"/>
              </w:rPr>
              <w:t>Project</w:t>
            </w:r>
          </w:p>
        </w:tc>
        <w:tc>
          <w:tcPr>
            <w:tcW w:type="dxa" w:w="5083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9"/>
              </w:rPr>
              <w:t>Integrate Cross-Functional Capacity Feedback Signals (Feature 6986096)</w:t>
            </w:r>
          </w:p>
        </w:tc>
      </w:tr>
      <w:tr>
        <w:tc>
          <w:tcPr>
            <w:tcW w:type="dxa" w:w="5083"/>
            <w:tcMar>
              <w:top w:w="75" w:type="dxa"/>
              <w:start w:w="90" w:type="dxa"/>
              <w:bottom w:w="75" w:type="dxa"/>
              <w:end w:w="90" w:type="dxa"/>
            </w:tcMar>
            <w:shd w:fill="D9EA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right"/>
            </w:pPr>
            <w:r>
              <w:rPr>
                <w:b/>
                <w:color w:val="1F4E79"/>
                <w:sz w:val="18"/>
              </w:rPr>
              <w:t>Platform</w:t>
            </w:r>
          </w:p>
        </w:tc>
        <w:tc>
          <w:tcPr>
            <w:tcW w:type="dxa" w:w="5083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9"/>
              </w:rPr>
              <w:t>Azure Managed Grafana - CapswatComparisions</w:t>
            </w:r>
          </w:p>
        </w:tc>
      </w:tr>
      <w:tr>
        <w:tc>
          <w:tcPr>
            <w:tcW w:type="dxa" w:w="5083"/>
            <w:tcMar>
              <w:top w:w="75" w:type="dxa"/>
              <w:start w:w="90" w:type="dxa"/>
              <w:bottom w:w="75" w:type="dxa"/>
              <w:end w:w="90" w:type="dxa"/>
            </w:tcMar>
            <w:shd w:fill="D9EA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right"/>
            </w:pPr>
            <w:r>
              <w:rPr>
                <w:b/>
                <w:color w:val="1F4E79"/>
                <w:sz w:val="18"/>
              </w:rPr>
              <w:t>Environment</w:t>
            </w:r>
          </w:p>
        </w:tc>
        <w:tc>
          <w:tcPr>
            <w:tcW w:type="dxa" w:w="5083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9"/>
              </w:rPr>
              <w:t>V3 cloud deployment</w:t>
            </w:r>
          </w:p>
        </w:tc>
      </w:tr>
      <w:tr>
        <w:tc>
          <w:tcPr>
            <w:tcW w:type="dxa" w:w="5083"/>
            <w:tcMar>
              <w:top w:w="75" w:type="dxa"/>
              <w:start w:w="90" w:type="dxa"/>
              <w:bottom w:w="75" w:type="dxa"/>
              <w:end w:w="90" w:type="dxa"/>
            </w:tcMar>
            <w:shd w:fill="D9EA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right"/>
            </w:pPr>
            <w:r>
              <w:rPr>
                <w:b/>
                <w:color w:val="1F4E79"/>
                <w:sz w:val="18"/>
              </w:rPr>
              <w:t>Date</w:t>
            </w:r>
          </w:p>
        </w:tc>
        <w:tc>
          <w:tcPr>
            <w:tcW w:type="dxa" w:w="5083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9"/>
              </w:rPr>
              <w:t>22 July 2026</w:t>
            </w:r>
          </w:p>
        </w:tc>
      </w:tr>
    </w:tbl>
    <w:p>
      <w:pPr>
        <w:spacing w:before="720"/>
        <w:jc w:val="center"/>
      </w:pPr>
      <w:r>
        <w:rPr>
          <w:i/>
          <w:color w:val="6B7280"/>
          <w:sz w:val="19"/>
        </w:rPr>
        <w:t>Purpose: provide a concise executive and technical reference for presentation, handoff, validation, maintenance, and future support.</w:t>
      </w:r>
    </w:p>
    <w:p>
      <w:r>
        <w:br w:type="page"/>
      </w:r>
    </w:p>
    <w:p>
      <w:pPr>
        <w:pStyle w:val="Heading1"/>
      </w:pPr>
      <w:r>
        <w:t>Document Purpose</w:t>
      </w:r>
    </w:p>
    <w:p>
      <w:r>
        <w:t>This package documents the completed AEGIS Forecast Drift cloud deployment. It is not an additional development stage: the dashboards are already operational. The document provides the context needed to present the solution, explain its architecture, validate its behavior, and hand it over for future maintenance.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B"/>
            <w:tcBorders>
              <w:top w:val="single" w:sz="10" w:color="5B9BD5"/>
              <w:left w:val="single" w:sz="24" w:color="5B9BD5"/>
              <w:bottom w:val="single" w:sz="10" w:color="5B9BD5"/>
              <w:right w:val="single" w:sz="10" w:color="5B9BD5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Current delivery status</w:t>
            </w:r>
          </w:p>
          <w:p>
            <w:pPr>
              <w:spacing w:after="0"/>
            </w:pPr>
            <w:r>
              <w:rPr>
                <w:sz w:val="20"/>
              </w:rPr>
              <w:t>The platform is deployed and technically validated. The next activities are stakeholder presentation, access rollout when required, and SAS credential rotation before the documented expiry date.</w:t>
            </w:r>
          </w:p>
        </w:tc>
      </w:tr>
    </w:tbl>
    <w:p>
      <w:pPr>
        <w:pStyle w:val="Heading1"/>
      </w:pPr>
      <w:r>
        <w:t>Contents</w:t>
      </w:r>
    </w:p>
    <w:p>
      <w:pPr>
        <w:spacing w:after="60"/>
        <w:ind w:left="259"/>
      </w:pPr>
      <w:r>
        <w:rPr>
          <w:sz w:val="20"/>
        </w:rPr>
        <w:t>1. Executive Summary</w:t>
      </w:r>
    </w:p>
    <w:p>
      <w:pPr>
        <w:spacing w:after="60"/>
        <w:ind w:left="259"/>
      </w:pPr>
      <w:r>
        <w:rPr>
          <w:sz w:val="20"/>
        </w:rPr>
        <w:t>2. Scope and Business Value</w:t>
      </w:r>
    </w:p>
    <w:p>
      <w:pPr>
        <w:spacing w:after="60"/>
        <w:ind w:left="259"/>
      </w:pPr>
      <w:r>
        <w:rPr>
          <w:sz w:val="20"/>
        </w:rPr>
        <w:t>3. Solution Architecture</w:t>
      </w:r>
    </w:p>
    <w:p>
      <w:pPr>
        <w:spacing w:after="60"/>
        <w:ind w:left="259"/>
      </w:pPr>
      <w:r>
        <w:rPr>
          <w:sz w:val="20"/>
        </w:rPr>
        <w:t>4. Dashboard Catalog</w:t>
      </w:r>
    </w:p>
    <w:p>
      <w:pPr>
        <w:spacing w:after="60"/>
        <w:ind w:left="259"/>
      </w:pPr>
      <w:r>
        <w:rPr>
          <w:sz w:val="20"/>
        </w:rPr>
        <w:t>5. Governed Data Artifacts</w:t>
      </w:r>
    </w:p>
    <w:p>
      <w:pPr>
        <w:spacing w:after="60"/>
        <w:ind w:left="259"/>
      </w:pPr>
      <w:r>
        <w:rPr>
          <w:sz w:val="20"/>
        </w:rPr>
        <w:t>6. User Experience and Navigation</w:t>
      </w:r>
    </w:p>
    <w:p>
      <w:pPr>
        <w:spacing w:after="60"/>
        <w:ind w:left="259"/>
      </w:pPr>
      <w:r>
        <w:rPr>
          <w:sz w:val="20"/>
        </w:rPr>
        <w:t>7. Validation and Acceptance Evidence</w:t>
      </w:r>
    </w:p>
    <w:p>
      <w:pPr>
        <w:spacing w:after="60"/>
        <w:ind w:left="259"/>
      </w:pPr>
      <w:r>
        <w:rPr>
          <w:sz w:val="20"/>
        </w:rPr>
        <w:t>8. Security, Access, and Known Limitations</w:t>
      </w:r>
    </w:p>
    <w:p>
      <w:pPr>
        <w:spacing w:after="60"/>
        <w:ind w:left="259"/>
      </w:pPr>
      <w:r>
        <w:rPr>
          <w:sz w:val="20"/>
        </w:rPr>
        <w:t>9. Operations, Maintenance, and Rollback</w:t>
      </w:r>
    </w:p>
    <w:p>
      <w:pPr>
        <w:spacing w:after="60"/>
        <w:ind w:left="259"/>
      </w:pPr>
      <w:r>
        <w:rPr>
          <w:sz w:val="20"/>
        </w:rPr>
        <w:t>10. Handoff Checklist and Final Status</w:t>
      </w:r>
    </w:p>
    <w:p>
      <w:pPr>
        <w:spacing w:after="60"/>
        <w:ind w:left="259"/>
      </w:pPr>
      <w:r>
        <w:rPr>
          <w:sz w:val="20"/>
        </w:rPr>
        <w:t>Appendix A. Dashboard URLs</w:t>
      </w:r>
    </w:p>
    <w:p>
      <w:pPr>
        <w:spacing w:after="60"/>
        <w:ind w:left="259"/>
      </w:pPr>
      <w:r>
        <w:rPr>
          <w:sz w:val="20"/>
        </w:rPr>
        <w:t>Appendix B. Closure Tokens</w:t>
      </w:r>
    </w:p>
    <w:p>
      <w:pPr>
        <w:pStyle w:val="Heading1"/>
      </w:pPr>
      <w:r>
        <w:t>1. Executive Summary</w:t>
      </w:r>
    </w:p>
    <w:p>
      <w:r>
        <w:t>AEGIS Forecast Drift is a governed monitoring platform that surfaces forecast drift, severity, trend evolution, affected forecast keys, historical events, and data-quality evidence in a single Azure Managed Grafana experience. The platform provides a read-only analytical layer for stakeholders and supports evidence-based review without modifying the underlying forecasting process.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D9EAF7"/>
            <w:tcMar>
              <w:top w:w="90" w:type="dxa"/>
              <w:start w:w="70" w:type="dxa"/>
              <w:bottom w:w="70" w:type="dxa"/>
              <w:end w:w="70" w:type="dxa"/>
            </w:tcMar>
            <w:tcBorders>
              <w:top w:val="single" w:sz="6" w:color="B4C6E7"/>
              <w:left w:val="single" w:sz="6" w:color="B4C6E7"/>
              <w:bottom w:val="single" w:sz="6" w:color="B4C6E7"/>
              <w:right w:val="single" w:sz="6" w:color="B4C6E7"/>
            </w:tcBorders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AEGIS dashboards</w:t>
            </w:r>
          </w:p>
        </w:tc>
        <w:tc>
          <w:tcPr>
            <w:tcW w:type="dxa" w:w="2033"/>
            <w:shd w:fill="D9EAF7"/>
            <w:tcMar>
              <w:top w:w="90" w:type="dxa"/>
              <w:start w:w="70" w:type="dxa"/>
              <w:bottom w:w="70" w:type="dxa"/>
              <w:end w:w="70" w:type="dxa"/>
            </w:tcMar>
            <w:tcBorders>
              <w:top w:val="single" w:sz="6" w:color="B4C6E7"/>
              <w:left w:val="single" w:sz="6" w:color="B4C6E7"/>
              <w:bottom w:val="single" w:sz="6" w:color="B4C6E7"/>
              <w:right w:val="single" w:sz="6" w:color="B4C6E7"/>
            </w:tcBorders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Governed CSV artifacts</w:t>
            </w:r>
          </w:p>
        </w:tc>
        <w:tc>
          <w:tcPr>
            <w:tcW w:type="dxa" w:w="2033"/>
            <w:shd w:fill="D9EAF7"/>
            <w:tcMar>
              <w:top w:w="90" w:type="dxa"/>
              <w:start w:w="70" w:type="dxa"/>
              <w:bottom w:w="70" w:type="dxa"/>
              <w:end w:w="70" w:type="dxa"/>
            </w:tcMar>
            <w:tcBorders>
              <w:top w:val="single" w:sz="6" w:color="B4C6E7"/>
              <w:left w:val="single" w:sz="6" w:color="B4C6E7"/>
              <w:bottom w:val="single" w:sz="6" w:color="B4C6E7"/>
              <w:right w:val="single" w:sz="6" w:color="B4C6E7"/>
            </w:tcBorders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Signals</w:t>
            </w:r>
          </w:p>
        </w:tc>
        <w:tc>
          <w:tcPr>
            <w:tcW w:type="dxa" w:w="2033"/>
            <w:shd w:fill="D9EAF7"/>
            <w:tcMar>
              <w:top w:w="90" w:type="dxa"/>
              <w:start w:w="70" w:type="dxa"/>
              <w:bottom w:w="70" w:type="dxa"/>
              <w:end w:w="70" w:type="dxa"/>
            </w:tcMar>
            <w:tcBorders>
              <w:top w:val="single" w:sz="6" w:color="B4C6E7"/>
              <w:left w:val="single" w:sz="6" w:color="B4C6E7"/>
              <w:bottom w:val="single" w:sz="6" w:color="B4C6E7"/>
              <w:right w:val="single" w:sz="6" w:color="B4C6E7"/>
            </w:tcBorders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Drift events</w:t>
            </w:r>
          </w:p>
        </w:tc>
        <w:tc>
          <w:tcPr>
            <w:tcW w:type="dxa" w:w="2033"/>
            <w:shd w:fill="D9EAF7"/>
            <w:tcMar>
              <w:top w:w="90" w:type="dxa"/>
              <w:start w:w="70" w:type="dxa"/>
              <w:bottom w:w="70" w:type="dxa"/>
              <w:end w:w="70" w:type="dxa"/>
            </w:tcMar>
            <w:tcBorders>
              <w:top w:val="single" w:sz="6" w:color="B4C6E7"/>
              <w:left w:val="single" w:sz="6" w:color="B4C6E7"/>
              <w:bottom w:val="single" w:sz="6" w:color="B4C6E7"/>
              <w:right w:val="single" w:sz="6" w:color="B4C6E7"/>
            </w:tcBorders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Data-quality checks</w:t>
            </w:r>
          </w:p>
        </w:tc>
      </w:tr>
      <w:tr>
        <w:tc>
          <w:tcPr>
            <w:tcW w:type="dxa" w:w="2033"/>
            <w:tcMar>
              <w:top w:w="90" w:type="dxa"/>
              <w:start w:w="70" w:type="dxa"/>
              <w:bottom w:w="100" w:type="dxa"/>
              <w:end w:w="70" w:type="dxa"/>
            </w:tcMar>
            <w:tcBorders>
              <w:top w:val="single" w:sz="6" w:color="B4C6E7"/>
              <w:left w:val="single" w:sz="6" w:color="B4C6E7"/>
              <w:bottom w:val="single" w:sz="6" w:color="B4C6E7"/>
              <w:right w:val="single" w:sz="6" w:color="B4C6E7"/>
            </w:tcBorders>
          </w:tcPr>
          <w:p>
            <w:pPr>
              <w:jc w:val="center"/>
            </w:pPr>
            <w:r>
              <w:rPr>
                <w:b/>
                <w:color w:val="203864"/>
                <w:sz w:val="28"/>
              </w:rPr>
              <w:t>10</w:t>
            </w:r>
          </w:p>
        </w:tc>
        <w:tc>
          <w:tcPr>
            <w:tcW w:type="dxa" w:w="2033"/>
            <w:tcMar>
              <w:top w:w="90" w:type="dxa"/>
              <w:start w:w="70" w:type="dxa"/>
              <w:bottom w:w="100" w:type="dxa"/>
              <w:end w:w="70" w:type="dxa"/>
            </w:tcMar>
            <w:tcBorders>
              <w:top w:val="single" w:sz="6" w:color="B4C6E7"/>
              <w:left w:val="single" w:sz="6" w:color="B4C6E7"/>
              <w:bottom w:val="single" w:sz="6" w:color="B4C6E7"/>
              <w:right w:val="single" w:sz="6" w:color="B4C6E7"/>
            </w:tcBorders>
          </w:tcPr>
          <w:p>
            <w:pPr>
              <w:jc w:val="center"/>
            </w:pPr>
            <w:r>
              <w:rPr>
                <w:b/>
                <w:color w:val="203864"/>
                <w:sz w:val="28"/>
              </w:rPr>
              <w:t>5</w:t>
            </w:r>
          </w:p>
        </w:tc>
        <w:tc>
          <w:tcPr>
            <w:tcW w:type="dxa" w:w="2033"/>
            <w:tcMar>
              <w:top w:w="90" w:type="dxa"/>
              <w:start w:w="70" w:type="dxa"/>
              <w:bottom w:w="100" w:type="dxa"/>
              <w:end w:w="70" w:type="dxa"/>
            </w:tcMar>
            <w:tcBorders>
              <w:top w:val="single" w:sz="6" w:color="B4C6E7"/>
              <w:left w:val="single" w:sz="6" w:color="B4C6E7"/>
              <w:bottom w:val="single" w:sz="6" w:color="B4C6E7"/>
              <w:right w:val="single" w:sz="6" w:color="B4C6E7"/>
            </w:tcBorders>
          </w:tcPr>
          <w:p>
            <w:pPr>
              <w:jc w:val="center"/>
            </w:pPr>
            <w:r>
              <w:rPr>
                <w:b/>
                <w:color w:val="203864"/>
                <w:sz w:val="28"/>
              </w:rPr>
              <w:t>168</w:t>
            </w:r>
          </w:p>
        </w:tc>
        <w:tc>
          <w:tcPr>
            <w:tcW w:type="dxa" w:w="2033"/>
            <w:tcMar>
              <w:top w:w="90" w:type="dxa"/>
              <w:start w:w="70" w:type="dxa"/>
              <w:bottom w:w="100" w:type="dxa"/>
              <w:end w:w="70" w:type="dxa"/>
            </w:tcMar>
            <w:tcBorders>
              <w:top w:val="single" w:sz="6" w:color="B4C6E7"/>
              <w:left w:val="single" w:sz="6" w:color="B4C6E7"/>
              <w:bottom w:val="single" w:sz="6" w:color="B4C6E7"/>
              <w:right w:val="single" w:sz="6" w:color="B4C6E7"/>
            </w:tcBorders>
          </w:tcPr>
          <w:p>
            <w:pPr>
              <w:jc w:val="center"/>
            </w:pPr>
            <w:r>
              <w:rPr>
                <w:b/>
                <w:color w:val="203864"/>
                <w:sz w:val="28"/>
              </w:rPr>
              <w:t>71</w:t>
            </w:r>
          </w:p>
        </w:tc>
        <w:tc>
          <w:tcPr>
            <w:tcW w:type="dxa" w:w="2033"/>
            <w:tcMar>
              <w:top w:w="90" w:type="dxa"/>
              <w:start w:w="70" w:type="dxa"/>
              <w:bottom w:w="100" w:type="dxa"/>
              <w:end w:w="70" w:type="dxa"/>
            </w:tcMar>
            <w:tcBorders>
              <w:top w:val="single" w:sz="6" w:color="B4C6E7"/>
              <w:left w:val="single" w:sz="6" w:color="B4C6E7"/>
              <w:bottom w:val="single" w:sz="6" w:color="B4C6E7"/>
              <w:right w:val="single" w:sz="6" w:color="B4C6E7"/>
            </w:tcBorders>
          </w:tcPr>
          <w:p>
            <w:pPr>
              <w:jc w:val="center"/>
            </w:pPr>
            <w:r>
              <w:rPr>
                <w:b/>
                <w:color w:val="203864"/>
                <w:sz w:val="28"/>
              </w:rPr>
              <w:t>18/18</w:t>
            </w:r>
          </w:p>
        </w:tc>
      </w:tr>
    </w:tbl>
    <w:p/>
    <w:p>
      <w:r>
        <w:t>The deployment uses a private Azure Blob container, the Infinity datasource plugin, and Azure Managed Grafana. Secrets are not embedded in dashboard JSON, source control, or visible URLs. The existing workspace content was preserved: 70 original dashboards remain intact, while the AEGIS folder contains 10 dedicated dashboards.</w:t>
      </w:r>
    </w:p>
    <w:p>
      <w:pPr>
        <w:pStyle w:val="Heading1"/>
      </w:pPr>
      <w:r>
        <w:t>2. Scope and Business Value</w:t>
      </w:r>
    </w:p>
    <w:p>
      <w:pPr>
        <w:pStyle w:val="ListBullet"/>
        <w:spacing w:after="60"/>
      </w:pPr>
      <w:r>
        <w:t>Centralizes drift evidence across performance, shape, stability, volatility, events, and historical behavior.</w:t>
      </w:r>
    </w:p>
    <w:p>
      <w:pPr>
        <w:pStyle w:val="ListBullet"/>
        <w:spacing w:after="60"/>
      </w:pPr>
      <w:r>
        <w:t>Provides a consistent governed view of signals, status distribution, high-risk keys, latest run information, and data quality.</w:t>
      </w:r>
    </w:p>
    <w:p>
      <w:pPr>
        <w:pStyle w:val="ListBullet"/>
        <w:spacing w:after="60"/>
      </w:pPr>
      <w:r>
        <w:t>Supports faster stakeholder review through shared filters, clear navigation, and standardized descriptions.</w:t>
      </w:r>
    </w:p>
    <w:p>
      <w:pPr>
        <w:pStyle w:val="ListBullet"/>
        <w:spacing w:after="60"/>
      </w:pPr>
      <w:r>
        <w:t>Keeps the experience read-only and traceable, reducing the risk of accidental changes to forecasting artifacts.</w:t>
      </w:r>
    </w:p>
    <w:p>
      <w:pPr>
        <w:pStyle w:val="ListBullet"/>
        <w:spacing w:after="60"/>
      </w:pPr>
      <w:r>
        <w:t>Creates a reusable maintenance path through a consolidated validation script and documented rollback approach.</w:t>
      </w:r>
    </w:p>
    <w:p>
      <w:pPr>
        <w:pStyle w:val="Heading1"/>
      </w:pPr>
      <w:r>
        <w:t>3. Solution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8314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gis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31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Caption"/>
        <w:jc w:val="center"/>
      </w:pPr>
      <w:r>
        <w:t>Figure 1. Governed read-only delivery path for AEGIS Forecast Drift.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54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54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54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Current state</w:t>
            </w:r>
          </w:p>
        </w:tc>
      </w:tr>
      <w:t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Data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Governed CSV artifacts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Provide signals, run metadata, family scores, event history, and DQ results.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Validated</w:t>
            </w:r>
          </w:p>
        </w:tc>
      </w:tr>
      <w:t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Storage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Private Azure Blob Storage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Stores the five governed CSV files without anonymous access.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Operational</w:t>
            </w:r>
          </w:p>
        </w:tc>
      </w:tr>
      <w:t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Datasource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Infinity 3.5.0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Reads authenticated HTTPS CSV content and supplies dashboard queries.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Operational</w:t>
            </w:r>
          </w:p>
        </w:tc>
      </w:tr>
      <w:t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Presentation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Azure Managed Grafana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Hosts the 10 AEGIS dashboards and shared filtering/navigation experience.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Operational</w:t>
            </w:r>
          </w:p>
        </w:tc>
      </w:tr>
    </w:tbl>
    <w:p>
      <w:pPr>
        <w:pStyle w:val="Heading2"/>
      </w:pPr>
      <w:r>
        <w:t>Architecture details</w:t>
      </w:r>
    </w:p>
    <w:p>
      <w:pPr>
        <w:pStyle w:val="ListBullet"/>
        <w:spacing w:after="60"/>
      </w:pPr>
      <w:r>
        <w:t>Azure Managed Grafana workspace: CapswatComparisions.</w:t>
      </w:r>
    </w:p>
    <w:p>
      <w:pPr>
        <w:pStyle w:val="ListBullet"/>
        <w:spacing w:after="60"/>
      </w:pPr>
      <w:r>
        <w:t>Private storage account: aegisforecasti0654609440.</w:t>
      </w:r>
    </w:p>
    <w:p>
      <w:pPr>
        <w:pStyle w:val="ListBullet"/>
        <w:spacing w:after="60"/>
      </w:pPr>
      <w:r>
        <w:t>Private container: aegis-forecast-drift.</w:t>
      </w:r>
    </w:p>
    <w:p>
      <w:pPr>
        <w:pStyle w:val="ListBullet"/>
        <w:spacing w:after="60"/>
      </w:pPr>
      <w:r>
        <w:t>Datasource UID: aegis-forecast-drift-csv.</w:t>
      </w:r>
    </w:p>
    <w:p>
      <w:pPr>
        <w:pStyle w:val="ListBullet"/>
        <w:spacing w:after="60"/>
      </w:pPr>
      <w:r>
        <w:t>Plugin: yesoreyeram-infinity-datasource, version 3.5.0.</w:t>
      </w:r>
    </w:p>
    <w:p>
      <w:pPr>
        <w:pStyle w:val="ListBullet"/>
        <w:spacing w:after="60"/>
      </w:pPr>
      <w:r>
        <w:t>SAS signature stored in Grafana secureJsonData; no secret is stored in dashboard JSON or Git.</w:t>
      </w:r>
    </w:p>
    <w:p>
      <w:pPr>
        <w:pStyle w:val="ListBullet"/>
        <w:spacing w:after="60"/>
      </w:pPr>
      <w:r>
        <w:t>Allowed host restricted to the Azure Blob endpoint.</w:t>
      </w:r>
    </w:p>
    <w:p>
      <w:pPr>
        <w:pStyle w:val="Heading1"/>
      </w:pPr>
      <w:r>
        <w:t>4. Dashboard Catalog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Dashboard</w:t>
            </w:r>
          </w:p>
        </w:tc>
        <w:tc>
          <w:tcPr>
            <w:tcW w:type="dxa" w:w="3389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UID</w:t>
            </w:r>
          </w:p>
        </w:tc>
        <w:tc>
          <w:tcPr>
            <w:tcW w:type="dxa" w:w="3389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b/>
                <w:sz w:val="17"/>
              </w:rPr>
              <w:t>Overview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aegis-forecast-drift-foundation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High-level view of drift KPIs, status distribution, trend evolution, key risk areas, and data quality.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b/>
                <w:sz w:val="17"/>
              </w:rPr>
              <w:t>Forecast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aegis-forecast-drift-forecast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Forecast-level view of drift scores, status, trends, and governed forecast evidence.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b/>
                <w:sz w:val="17"/>
              </w:rPr>
              <w:t>Performance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aegis-forecast-drift-performance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Performance-focused view of accuracy-related drift signals, scores, trends, and key risks.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b/>
                <w:sz w:val="17"/>
              </w:rPr>
              <w:t>Shape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aegis-forecast-drift-shape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View of forecast-shape drift, structural changes, affected keys, and trend evolution.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b/>
                <w:sz w:val="17"/>
              </w:rPr>
              <w:t>Stability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aegis-forecast-drift-stability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View of forecast stability, consistency changes, affected keys, and historical behavior.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b/>
                <w:sz w:val="17"/>
              </w:rPr>
              <w:t>Volatility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aegis-forecast-drift-volatility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View of forecast volatility, movement intensity, affected keys, and risk evolution.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b/>
                <w:sz w:val="17"/>
              </w:rPr>
              <w:t>Events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aegis-forecast-drift-events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View of detected drift events, severity, affected forecasts, and event distribution.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b/>
                <w:sz w:val="17"/>
              </w:rPr>
              <w:t>Historical Timeline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aegis-forecast-drift-timeline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Historical view of drift events, forecast versions, changes over time, and recurring patterns.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b/>
                <w:sz w:val="17"/>
              </w:rPr>
              <w:t>Top Risk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aegis-forecast-drift-top-keys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Ranked view of forecast keys with the highest drift risk and strongest contributing signals.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b/>
                <w:sz w:val="17"/>
              </w:rPr>
              <w:t>Settings &amp; Data Quality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aegis-forecast-drift-settings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View of governed run status, validation checks, dataset health, configuration, and control limits.</w:t>
            </w:r>
          </w:p>
        </w:tc>
      </w:tr>
    </w:tbl>
    <w:p>
      <w:pPr>
        <w:pStyle w:val="Heading2"/>
      </w:pPr>
      <w:r>
        <w:t>Shared filters</w:t>
      </w:r>
    </w:p>
    <w:p>
      <w:r>
        <w:t>The native Grafana controls remain aligned at the top of each dashboard. Their order is:</w:t>
      </w:r>
    </w:p>
    <w:p>
      <w:pPr>
        <w:pStyle w:val="ListBullet"/>
        <w:spacing w:after="60"/>
      </w:pPr>
      <w:r>
        <w:t>Forecast Key</w:t>
      </w:r>
    </w:p>
    <w:p>
      <w:pPr>
        <w:pStyle w:val="ListBullet"/>
        <w:spacing w:after="60"/>
      </w:pPr>
      <w:r>
        <w:t>Forecast Version</w:t>
      </w:r>
    </w:p>
    <w:p>
      <w:pPr>
        <w:pStyle w:val="ListBullet"/>
        <w:spacing w:after="60"/>
      </w:pPr>
      <w:r>
        <w:t>Region</w:t>
      </w:r>
    </w:p>
    <w:p>
      <w:pPr>
        <w:pStyle w:val="ListBullet"/>
        <w:spacing w:after="60"/>
      </w:pPr>
      <w:r>
        <w:t>Drift Status</w:t>
      </w:r>
    </w:p>
    <w:p>
      <w:pPr>
        <w:pStyle w:val="ListBullet"/>
        <w:spacing w:after="60"/>
      </w:pPr>
      <w:r>
        <w:t>Run ID</w:t>
      </w:r>
    </w:p>
    <w:p>
      <w:r>
        <w:t>Events, Historical Timeline, and Settings &amp; Data Quality retain additional functional controls when required by their queries.</w:t>
      </w:r>
    </w:p>
    <w:p>
      <w:pPr>
        <w:pStyle w:val="Heading1"/>
      </w:pPr>
      <w:r>
        <w:t>5. Governed Data Artifacts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254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Rows</w:t>
            </w:r>
          </w:p>
        </w:tc>
        <w:tc>
          <w:tcPr>
            <w:tcW w:type="dxa" w:w="254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Columns</w:t>
            </w:r>
          </w:p>
        </w:tc>
        <w:tc>
          <w:tcPr>
            <w:tcW w:type="dxa" w:w="254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forecast_drift_signals.csv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sz w:val="17"/>
              </w:rPr>
              <w:t>168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sz w:val="17"/>
              </w:rPr>
              <w:t>54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Primary drift-signal evidence used across the dashboard suite.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forecast_drift_runs.csv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Latest governed run metadata and validation status.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forecast_drift_family_scores.csv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sz w:val="17"/>
              </w:rPr>
              <w:t>672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Family-level scores used by Performance, Volatility, Top Risk, and Settings.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forecast_drift_event_history.csv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sz w:val="17"/>
              </w:rPr>
              <w:t>71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Historical event evidence used by Historical Timeline.</w:t>
            </w:r>
          </w:p>
        </w:tc>
      </w:tr>
      <w:tr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forecast_drift_data_quality_checks.csv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541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Detailed data-quality validation results used by Settings &amp; Data Quality.</w:t>
            </w:r>
          </w:p>
        </w:tc>
      </w:tr>
    </w:tbl>
    <w:p>
      <w:pPr>
        <w:pStyle w:val="Heading2"/>
      </w:pPr>
      <w:r>
        <w:t>Integrity controls</w:t>
      </w:r>
    </w:p>
    <w:p>
      <w:pPr>
        <w:pStyle w:val="ListBullet"/>
        <w:spacing w:after="60"/>
      </w:pPr>
      <w:r>
        <w:t>Local and remote file sizes were matched.</w:t>
      </w:r>
    </w:p>
    <w:p>
      <w:pPr>
        <w:pStyle w:val="ListBullet"/>
        <w:spacing w:after="60"/>
      </w:pPr>
      <w:r>
        <w:t>SHA-256 checksums were verified after download from Blob Storage.</w:t>
      </w:r>
    </w:p>
    <w:p>
      <w:pPr>
        <w:pStyle w:val="ListBullet"/>
        <w:spacing w:after="60"/>
      </w:pPr>
      <w:r>
        <w:t>All blobs use the text/csv content type.</w:t>
      </w:r>
    </w:p>
    <w:p>
      <w:pPr>
        <w:pStyle w:val="ListBullet"/>
        <w:spacing w:after="60"/>
      </w:pPr>
      <w:r>
        <w:t>Anonymous access is blocked.</w:t>
      </w:r>
    </w:p>
    <w:p>
      <w:pPr>
        <w:pStyle w:val="ListBullet"/>
        <w:spacing w:after="60"/>
      </w:pPr>
      <w:r>
        <w:t>Read access succeeds through the authenticated datasource; write and delete operations are denied.</w:t>
      </w:r>
    </w:p>
    <w:p>
      <w:pPr>
        <w:pStyle w:val="Heading1"/>
      </w:pPr>
      <w:r>
        <w:t>6. User Experience and Navigation</w:t>
      </w:r>
    </w:p>
    <w:p>
      <w:pPr>
        <w:pStyle w:val="ListBullet"/>
        <w:spacing w:after="60"/>
      </w:pPr>
      <w:r>
        <w:t>Each dashboard uses a left-side vertical navigation sidebar with all 10 AEGIS sections.</w:t>
      </w:r>
    </w:p>
    <w:p>
      <w:pPr>
        <w:pStyle w:val="ListBullet"/>
        <w:spacing w:after="60"/>
      </w:pPr>
      <w:r>
        <w:t>The current dashboard is highlighted with “(current)”.</w:t>
      </w:r>
    </w:p>
    <w:p>
      <w:pPr>
        <w:pStyle w:val="ListBullet"/>
        <w:spacing w:after="60"/>
      </w:pPr>
      <w:r>
        <w:t>The top native filter bar is kept in the standard Grafana position for stability and supportability.</w:t>
      </w:r>
    </w:p>
    <w:p>
      <w:pPr>
        <w:pStyle w:val="ListBullet"/>
        <w:spacing w:after="60"/>
      </w:pPr>
      <w:r>
        <w:t>Titles and descriptions use stakeholder-oriented language; internal file names, stage codes, paths, hashes, and implementation details were removed from visible text.</w:t>
      </w:r>
    </w:p>
    <w:p>
      <w:pPr>
        <w:pStyle w:val="ListBullet"/>
        <w:spacing w:after="60"/>
      </w:pPr>
      <w:r>
        <w:t>The dashboard suite maintains a consistent hierarchy: filters, title/description, KPIs, charts/tables, latest run, and data quality.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B"/>
            <w:tcBorders>
              <w:top w:val="single" w:sz="10" w:color="5B9BD5"/>
              <w:left w:val="single" w:sz="24" w:color="5B9BD5"/>
              <w:bottom w:val="single" w:sz="10" w:color="5B9BD5"/>
              <w:right w:val="single" w:sz="10" w:color="5B9BD5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Native Grafana limitation</w:t>
            </w:r>
          </w:p>
          <w:p>
            <w:pPr>
              <w:spacing w:after="0"/>
            </w:pPr>
            <w:r>
              <w:rPr>
                <w:sz w:val="20"/>
              </w:rPr>
              <w:t>Grafana does not support centering the native filter bar or moving template variables into the dashboard grid without custom CSS, HTML/JavaScript, or a custom plugin. The final design intentionally stays within supported native behavior.</w:t>
            </w:r>
          </w:p>
        </w:tc>
      </w:tr>
    </w:tbl>
    <w:p>
      <w:pPr>
        <w:pStyle w:val="Heading1"/>
      </w:pPr>
      <w:r>
        <w:t>7. Validation and Acceptance Evidence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  <w:shd w:fill="D9EAF7"/>
            <w:tcMar>
              <w:top w:w="90" w:type="dxa"/>
              <w:start w:w="70" w:type="dxa"/>
              <w:bottom w:w="70" w:type="dxa"/>
              <w:end w:w="70" w:type="dxa"/>
            </w:tcMar>
            <w:tcBorders>
              <w:top w:val="single" w:sz="6" w:color="B4C6E7"/>
              <w:left w:val="single" w:sz="6" w:color="B4C6E7"/>
              <w:bottom w:val="single" w:sz="6" w:color="B4C6E7"/>
              <w:right w:val="single" w:sz="6" w:color="B4C6E7"/>
            </w:tcBorders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Total Signals</w:t>
            </w:r>
          </w:p>
        </w:tc>
        <w:tc>
          <w:tcPr>
            <w:tcW w:type="dxa" w:w="1452"/>
            <w:shd w:fill="D9EAF7"/>
            <w:tcMar>
              <w:top w:w="90" w:type="dxa"/>
              <w:start w:w="70" w:type="dxa"/>
              <w:bottom w:w="70" w:type="dxa"/>
              <w:end w:w="70" w:type="dxa"/>
            </w:tcMar>
            <w:tcBorders>
              <w:top w:val="single" w:sz="6" w:color="B4C6E7"/>
              <w:left w:val="single" w:sz="6" w:color="B4C6E7"/>
              <w:bottom w:val="single" w:sz="6" w:color="B4C6E7"/>
              <w:right w:val="single" w:sz="6" w:color="B4C6E7"/>
            </w:tcBorders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Total Events</w:t>
            </w:r>
          </w:p>
        </w:tc>
        <w:tc>
          <w:tcPr>
            <w:tcW w:type="dxa" w:w="1452"/>
            <w:shd w:fill="D9EAF7"/>
            <w:tcMar>
              <w:top w:w="90" w:type="dxa"/>
              <w:start w:w="70" w:type="dxa"/>
              <w:bottom w:w="70" w:type="dxa"/>
              <w:end w:w="70" w:type="dxa"/>
            </w:tcMar>
            <w:tcBorders>
              <w:top w:val="single" w:sz="6" w:color="B4C6E7"/>
              <w:left w:val="single" w:sz="6" w:color="B4C6E7"/>
              <w:bottom w:val="single" w:sz="6" w:color="B4C6E7"/>
              <w:right w:val="single" w:sz="6" w:color="B4C6E7"/>
            </w:tcBorders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Critical</w:t>
            </w:r>
          </w:p>
        </w:tc>
        <w:tc>
          <w:tcPr>
            <w:tcW w:type="dxa" w:w="1452"/>
            <w:shd w:fill="D9EAF7"/>
            <w:tcMar>
              <w:top w:w="90" w:type="dxa"/>
              <w:start w:w="70" w:type="dxa"/>
              <w:bottom w:w="70" w:type="dxa"/>
              <w:end w:w="70" w:type="dxa"/>
            </w:tcMar>
            <w:tcBorders>
              <w:top w:val="single" w:sz="6" w:color="B4C6E7"/>
              <w:left w:val="single" w:sz="6" w:color="B4C6E7"/>
              <w:bottom w:val="single" w:sz="6" w:color="B4C6E7"/>
              <w:right w:val="single" w:sz="6" w:color="B4C6E7"/>
            </w:tcBorders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Warning</w:t>
            </w:r>
          </w:p>
        </w:tc>
        <w:tc>
          <w:tcPr>
            <w:tcW w:type="dxa" w:w="1452"/>
            <w:shd w:fill="D9EAF7"/>
            <w:tcMar>
              <w:top w:w="90" w:type="dxa"/>
              <w:start w:w="70" w:type="dxa"/>
              <w:bottom w:w="70" w:type="dxa"/>
              <w:end w:w="70" w:type="dxa"/>
            </w:tcMar>
            <w:tcBorders>
              <w:top w:val="single" w:sz="6" w:color="B4C6E7"/>
              <w:left w:val="single" w:sz="6" w:color="B4C6E7"/>
              <w:bottom w:val="single" w:sz="6" w:color="B4C6E7"/>
              <w:right w:val="single" w:sz="6" w:color="B4C6E7"/>
            </w:tcBorders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Watch</w:t>
            </w:r>
          </w:p>
        </w:tc>
        <w:tc>
          <w:tcPr>
            <w:tcW w:type="dxa" w:w="1452"/>
            <w:shd w:fill="D9EAF7"/>
            <w:tcMar>
              <w:top w:w="90" w:type="dxa"/>
              <w:start w:w="70" w:type="dxa"/>
              <w:bottom w:w="70" w:type="dxa"/>
              <w:end w:w="70" w:type="dxa"/>
            </w:tcMar>
            <w:tcBorders>
              <w:top w:val="single" w:sz="6" w:color="B4C6E7"/>
              <w:left w:val="single" w:sz="6" w:color="B4C6E7"/>
              <w:bottom w:val="single" w:sz="6" w:color="B4C6E7"/>
              <w:right w:val="single" w:sz="6" w:color="B4C6E7"/>
            </w:tcBorders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Healthy</w:t>
            </w:r>
          </w:p>
        </w:tc>
        <w:tc>
          <w:tcPr>
            <w:tcW w:type="dxa" w:w="1452"/>
            <w:shd w:fill="D9EAF7"/>
            <w:tcMar>
              <w:top w:w="90" w:type="dxa"/>
              <w:start w:w="70" w:type="dxa"/>
              <w:bottom w:w="70" w:type="dxa"/>
              <w:end w:w="70" w:type="dxa"/>
            </w:tcMar>
            <w:tcBorders>
              <w:top w:val="single" w:sz="6" w:color="B4C6E7"/>
              <w:left w:val="single" w:sz="6" w:color="B4C6E7"/>
              <w:bottom w:val="single" w:sz="6" w:color="B4C6E7"/>
              <w:right w:val="single" w:sz="6" w:color="B4C6E7"/>
            </w:tcBorders>
          </w:tcPr>
          <w:p>
            <w:pPr>
              <w:jc w:val="center"/>
            </w:pPr>
            <w:r>
              <w:rPr>
                <w:b/>
                <w:color w:val="1F4E79"/>
                <w:sz w:val="18"/>
              </w:rPr>
              <w:t>DQ</w:t>
            </w:r>
          </w:p>
        </w:tc>
      </w:tr>
      <w:tr>
        <w:tc>
          <w:tcPr>
            <w:tcW w:type="dxa" w:w="1452"/>
            <w:tcMar>
              <w:top w:w="90" w:type="dxa"/>
              <w:start w:w="70" w:type="dxa"/>
              <w:bottom w:w="100" w:type="dxa"/>
              <w:end w:w="70" w:type="dxa"/>
            </w:tcMar>
            <w:tcBorders>
              <w:top w:val="single" w:sz="6" w:color="B4C6E7"/>
              <w:left w:val="single" w:sz="6" w:color="B4C6E7"/>
              <w:bottom w:val="single" w:sz="6" w:color="B4C6E7"/>
              <w:right w:val="single" w:sz="6" w:color="B4C6E7"/>
            </w:tcBorders>
          </w:tcPr>
          <w:p>
            <w:pPr>
              <w:jc w:val="center"/>
            </w:pPr>
            <w:r>
              <w:rPr>
                <w:b/>
                <w:color w:val="203864"/>
                <w:sz w:val="28"/>
              </w:rPr>
              <w:t>168</w:t>
            </w:r>
          </w:p>
        </w:tc>
        <w:tc>
          <w:tcPr>
            <w:tcW w:type="dxa" w:w="1452"/>
            <w:tcMar>
              <w:top w:w="90" w:type="dxa"/>
              <w:start w:w="70" w:type="dxa"/>
              <w:bottom w:w="100" w:type="dxa"/>
              <w:end w:w="70" w:type="dxa"/>
            </w:tcMar>
            <w:tcBorders>
              <w:top w:val="single" w:sz="6" w:color="B4C6E7"/>
              <w:left w:val="single" w:sz="6" w:color="B4C6E7"/>
              <w:bottom w:val="single" w:sz="6" w:color="B4C6E7"/>
              <w:right w:val="single" w:sz="6" w:color="B4C6E7"/>
            </w:tcBorders>
          </w:tcPr>
          <w:p>
            <w:pPr>
              <w:jc w:val="center"/>
            </w:pPr>
            <w:r>
              <w:rPr>
                <w:b/>
                <w:color w:val="203864"/>
                <w:sz w:val="28"/>
              </w:rPr>
              <w:t>71</w:t>
            </w:r>
          </w:p>
        </w:tc>
        <w:tc>
          <w:tcPr>
            <w:tcW w:type="dxa" w:w="1452"/>
            <w:tcMar>
              <w:top w:w="90" w:type="dxa"/>
              <w:start w:w="70" w:type="dxa"/>
              <w:bottom w:w="100" w:type="dxa"/>
              <w:end w:w="70" w:type="dxa"/>
            </w:tcMar>
            <w:tcBorders>
              <w:top w:val="single" w:sz="6" w:color="B4C6E7"/>
              <w:left w:val="single" w:sz="6" w:color="B4C6E7"/>
              <w:bottom w:val="single" w:sz="6" w:color="B4C6E7"/>
              <w:right w:val="single" w:sz="6" w:color="B4C6E7"/>
            </w:tcBorders>
          </w:tcPr>
          <w:p>
            <w:pPr>
              <w:jc w:val="center"/>
            </w:pPr>
            <w:r>
              <w:rPr>
                <w:b/>
                <w:color w:val="203864"/>
                <w:sz w:val="28"/>
              </w:rPr>
              <w:t>14</w:t>
            </w:r>
          </w:p>
        </w:tc>
        <w:tc>
          <w:tcPr>
            <w:tcW w:type="dxa" w:w="1452"/>
            <w:tcMar>
              <w:top w:w="90" w:type="dxa"/>
              <w:start w:w="70" w:type="dxa"/>
              <w:bottom w:w="100" w:type="dxa"/>
              <w:end w:w="70" w:type="dxa"/>
            </w:tcMar>
            <w:tcBorders>
              <w:top w:val="single" w:sz="6" w:color="B4C6E7"/>
              <w:left w:val="single" w:sz="6" w:color="B4C6E7"/>
              <w:bottom w:val="single" w:sz="6" w:color="B4C6E7"/>
              <w:right w:val="single" w:sz="6" w:color="B4C6E7"/>
            </w:tcBorders>
          </w:tcPr>
          <w:p>
            <w:pPr>
              <w:jc w:val="center"/>
            </w:pPr>
            <w:r>
              <w:rPr>
                <w:b/>
                <w:color w:val="203864"/>
                <w:sz w:val="28"/>
              </w:rPr>
              <w:t>34</w:t>
            </w:r>
          </w:p>
        </w:tc>
        <w:tc>
          <w:tcPr>
            <w:tcW w:type="dxa" w:w="1452"/>
            <w:tcMar>
              <w:top w:w="90" w:type="dxa"/>
              <w:start w:w="70" w:type="dxa"/>
              <w:bottom w:w="100" w:type="dxa"/>
              <w:end w:w="70" w:type="dxa"/>
            </w:tcMar>
            <w:tcBorders>
              <w:top w:val="single" w:sz="6" w:color="B4C6E7"/>
              <w:left w:val="single" w:sz="6" w:color="B4C6E7"/>
              <w:bottom w:val="single" w:sz="6" w:color="B4C6E7"/>
              <w:right w:val="single" w:sz="6" w:color="B4C6E7"/>
            </w:tcBorders>
          </w:tcPr>
          <w:p>
            <w:pPr>
              <w:jc w:val="center"/>
            </w:pPr>
            <w:r>
              <w:rPr>
                <w:b/>
                <w:color w:val="203864"/>
                <w:sz w:val="28"/>
              </w:rPr>
              <w:t>38</w:t>
            </w:r>
          </w:p>
        </w:tc>
        <w:tc>
          <w:tcPr>
            <w:tcW w:type="dxa" w:w="1452"/>
            <w:tcMar>
              <w:top w:w="90" w:type="dxa"/>
              <w:start w:w="70" w:type="dxa"/>
              <w:bottom w:w="100" w:type="dxa"/>
              <w:end w:w="70" w:type="dxa"/>
            </w:tcMar>
            <w:tcBorders>
              <w:top w:val="single" w:sz="6" w:color="B4C6E7"/>
              <w:left w:val="single" w:sz="6" w:color="B4C6E7"/>
              <w:bottom w:val="single" w:sz="6" w:color="B4C6E7"/>
              <w:right w:val="single" w:sz="6" w:color="B4C6E7"/>
            </w:tcBorders>
          </w:tcPr>
          <w:p>
            <w:pPr>
              <w:jc w:val="center"/>
            </w:pPr>
            <w:r>
              <w:rPr>
                <w:b/>
                <w:color w:val="203864"/>
                <w:sz w:val="28"/>
              </w:rPr>
              <w:t>82</w:t>
            </w:r>
          </w:p>
        </w:tc>
        <w:tc>
          <w:tcPr>
            <w:tcW w:type="dxa" w:w="1452"/>
            <w:tcMar>
              <w:top w:w="90" w:type="dxa"/>
              <w:start w:w="70" w:type="dxa"/>
              <w:bottom w:w="100" w:type="dxa"/>
              <w:end w:w="70" w:type="dxa"/>
            </w:tcMar>
            <w:tcBorders>
              <w:top w:val="single" w:sz="6" w:color="B4C6E7"/>
              <w:left w:val="single" w:sz="6" w:color="B4C6E7"/>
              <w:bottom w:val="single" w:sz="6" w:color="B4C6E7"/>
              <w:right w:val="single" w:sz="6" w:color="B4C6E7"/>
            </w:tcBorders>
          </w:tcPr>
          <w:p>
            <w:pPr>
              <w:jc w:val="center"/>
            </w:pPr>
            <w:r>
              <w:rPr>
                <w:b/>
                <w:color w:val="203864"/>
                <w:sz w:val="28"/>
              </w:rPr>
              <w:t>18/18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Validation area</w:t>
            </w:r>
          </w:p>
        </w:tc>
        <w:tc>
          <w:tcPr>
            <w:tcW w:type="dxa" w:w="3389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3389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Dashboard inventory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80 total dashboards; 10 AEGIS; 70 original workspace dashboards intact.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shd w:fill="E2F0D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2E7D32"/>
                <w:sz w:val="17"/>
              </w:rPr>
              <w:t>PASS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Navigation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All 10 AEGIS links resolve correctly.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shd w:fill="E2F0D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2E7D32"/>
                <w:sz w:val="17"/>
              </w:rPr>
              <w:t>PASS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Data availability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No unexpected No data states; zero-row panel count is 0.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shd w:fill="E2F0D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2E7D32"/>
                <w:sz w:val="17"/>
              </w:rPr>
              <w:t>PASS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Secrets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No SAS signature or secret is visible in dashboard JSON.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shd w:fill="E2F0D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2E7D32"/>
                <w:sz w:val="17"/>
              </w:rPr>
              <w:t>PASS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Placeholders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No migration placeholders or legacy local URLs remain.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shd w:fill="E2F0D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2E7D32"/>
                <w:sz w:val="17"/>
              </w:rPr>
              <w:t>PASS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Technical text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Visible internal implementation references reduced to 0.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shd w:fill="E2F0D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2E7D32"/>
                <w:sz w:val="17"/>
              </w:rPr>
              <w:t>PASS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Datasource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Infinity datasource operational and restricted to the Azure Blob host.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shd w:fill="E2F0D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2E7D32"/>
                <w:sz w:val="17"/>
              </w:rPr>
              <w:t>PASS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Regression protection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Original team dashboards, RBAC, network, and Key Vault were not modified.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shd w:fill="E2F0D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jc w:val="center"/>
            </w:pPr>
            <w:r>
              <w:rPr>
                <w:b/>
                <w:color w:val="2E7D32"/>
                <w:sz w:val="17"/>
              </w:rPr>
              <w:t>PASS</w:t>
            </w:r>
          </w:p>
        </w:tc>
      </w:tr>
    </w:tbl>
    <w:p>
      <w:pPr>
        <w:pStyle w:val="Heading2"/>
      </w:pPr>
      <w:r>
        <w:t>Consolidated validation script</w:t>
      </w:r>
    </w:p>
    <w:p>
      <w:r>
        <w:rPr>
          <w:b/>
        </w:rPr>
        <w:t xml:space="preserve">Path: </w:t>
      </w:r>
      <w:r>
        <w:t>engineering\E8_cloud\V3_maintenance\validate_aegis_dashboards.ps1</w:t>
      </w:r>
    </w:p>
    <w:p>
      <w:r>
        <w:t>Expected result: exit code 0. The script performs a read-only health check across all 10 AEGIS dashboards, navigation, data presence, placeholders, secret exposure, and visible technical text.</w:t>
      </w:r>
    </w:p>
    <w:p>
      <w:pPr>
        <w:pStyle w:val="Heading1"/>
      </w:pPr>
      <w:r>
        <w:t>8. Security, Access, and Known Limitations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3389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Current implementation</w:t>
            </w:r>
          </w:p>
        </w:tc>
        <w:tc>
          <w:tcPr>
            <w:tcW w:type="dxa" w:w="3389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Action / owner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Storage access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Private container; anonymous access disabled; HTTPS only.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No immediate action.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Datasource secret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SAS signature stored in Grafana secureJsonData.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Rotate before expiry.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shd w:fill="FFF2CC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SAS expiry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shd w:fill="FFF2CC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20 August 2026.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shd w:fill="FFF2CC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Mandatory maintenance action before expiry.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Shared Key dependency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Used during upload and SAS generation because data-plane RBAC was unavailable.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Future improvement: use Entra ID and Storage Blob Data Contributor.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Viewer access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Wider access rollout intentionally deferred.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Workspace owner / manager to grant access when needed.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Filter placement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Native Grafana controls remain left-aligned at the top.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Accepted platform limitation.</w:t>
            </w:r>
          </w:p>
        </w:tc>
      </w:tr>
    </w:tbl>
    <w:p>
      <w:pPr>
        <w:pStyle w:val="Heading1"/>
      </w:pPr>
      <w:r>
        <w:t>9. Operations, Maintenance, and Rollback</w:t>
      </w:r>
    </w:p>
    <w:p>
      <w:pPr>
        <w:pStyle w:val="Heading2"/>
      </w:pPr>
      <w:r>
        <w:t>Routine validation</w:t>
      </w:r>
    </w:p>
    <w:p>
      <w:pPr>
        <w:pStyle w:val="ListNumber"/>
        <w:spacing w:after="60"/>
      </w:pPr>
      <w:r>
        <w:t>Run the consolidated read-only validator.</w:t>
      </w:r>
    </w:p>
    <w:p>
      <w:pPr>
        <w:pStyle w:val="ListNumber"/>
        <w:spacing w:after="60"/>
      </w:pPr>
      <w:r>
        <w:t>Confirm exit code 0 and dashboard inventory 80 / 10 / 70.</w:t>
      </w:r>
    </w:p>
    <w:p>
      <w:pPr>
        <w:pStyle w:val="ListNumber"/>
        <w:spacing w:after="60"/>
      </w:pPr>
      <w:r>
        <w:t>Open Overview, Events, Historical Timeline, Top Risk, and Settings &amp; Data Quality for a quick visual sample.</w:t>
      </w:r>
    </w:p>
    <w:p>
      <w:pPr>
        <w:pStyle w:val="ListNumber"/>
        <w:spacing w:after="60"/>
      </w:pPr>
      <w:r>
        <w:t>Confirm the five Blob artifacts remain available and unchanged unless a governed refresh is expected.</w:t>
      </w:r>
    </w:p>
    <w:p>
      <w:pPr>
        <w:pStyle w:val="ListNumber"/>
        <w:spacing w:after="60"/>
      </w:pPr>
      <w:r>
        <w:t>Record any unexpected data, navigation, or datasource issue before changing configuration.</w:t>
      </w:r>
    </w:p>
    <w:p>
      <w:pPr>
        <w:pStyle w:val="Heading2"/>
      </w:pPr>
      <w:r>
        <w:t>SAS rotation</w:t>
      </w:r>
    </w:p>
    <w:p>
      <w:pPr>
        <w:pStyle w:val="ListNumber"/>
        <w:spacing w:after="60"/>
      </w:pPr>
      <w:r>
        <w:t>Generate a new container-scoped SAS with read/list permissions and HTTPS only.</w:t>
      </w:r>
    </w:p>
    <w:p>
      <w:pPr>
        <w:pStyle w:val="ListNumber"/>
        <w:spacing w:after="60"/>
      </w:pPr>
      <w:r>
        <w:t>Update the secure signature value in the Infinity datasource.</w:t>
      </w:r>
    </w:p>
    <w:p>
      <w:pPr>
        <w:pStyle w:val="ListNumber"/>
        <w:spacing w:after="60"/>
      </w:pPr>
      <w:r>
        <w:t>Update the non-secret SAS parameters embedded in dashboard URLs when the expiry or API version changes.</w:t>
      </w:r>
    </w:p>
    <w:p>
      <w:pPr>
        <w:pStyle w:val="ListNumber"/>
        <w:spacing w:after="60"/>
      </w:pPr>
      <w:r>
        <w:t>Run the consolidated validator and confirm all dashboards return data.</w:t>
      </w:r>
    </w:p>
    <w:p>
      <w:pPr>
        <w:pStyle w:val="ListNumber"/>
        <w:spacing w:after="60"/>
      </w:pPr>
      <w:r>
        <w:t>Do not expose the SAS signature in chat, Git, dashboard JSON, or documentation.</w:t>
      </w:r>
    </w:p>
    <w:p>
      <w:pPr>
        <w:pStyle w:val="Heading2"/>
      </w:pPr>
      <w:r>
        <w:t>Rollback approach</w:t>
      </w:r>
    </w:p>
    <w:p>
      <w:pPr>
        <w:pStyle w:val="ListBullet"/>
        <w:spacing w:after="60"/>
      </w:pPr>
      <w:r>
        <w:t>Use Grafana dashboard version history to restore a previous dashboard revision.</w:t>
      </w:r>
    </w:p>
    <w:p>
      <w:pPr>
        <w:pStyle w:val="ListBullet"/>
        <w:spacing w:after="60"/>
      </w:pPr>
      <w:r>
        <w:t>Do not delete the AEGIS folder, datasource, storage container, or existing team dashboards during troubleshooting.</w:t>
      </w:r>
    </w:p>
    <w:p>
      <w:pPr>
        <w:pStyle w:val="ListBullet"/>
        <w:spacing w:after="60"/>
      </w:pPr>
      <w:r>
        <w:t>If a datasource change causes failure, restore the prior secure configuration and validate before any additional change.</w:t>
      </w:r>
    </w:p>
    <w:p>
      <w:pPr>
        <w:pStyle w:val="ListBullet"/>
        <w:spacing w:after="60"/>
      </w:pPr>
      <w:r>
        <w:t>Retain the final migrated JSON artifacts as the deployment reference and recovery baseline.</w:t>
      </w:r>
    </w:p>
    <w:p>
      <w:pPr>
        <w:pStyle w:val="Heading1"/>
      </w:pPr>
      <w:r>
        <w:t>10. Handoff Checklist and Final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389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389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Deployment complete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shd w:fill="E2F0D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b/>
                <w:color w:val="2E7D32"/>
                <w:sz w:val="17"/>
              </w:rPr>
              <w:t>Complete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Validated in V3.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10 AEGIS dashboards available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shd w:fill="E2F0D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b/>
                <w:color w:val="2E7D32"/>
                <w:sz w:val="17"/>
              </w:rPr>
              <w:t>Complete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Validated in V3.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Navigation and filters validated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shd w:fill="E2F0D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b/>
                <w:color w:val="2E7D32"/>
                <w:sz w:val="17"/>
              </w:rPr>
              <w:t>Complete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Validated in V3.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Visible technical text cleaned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shd w:fill="E2F0D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b/>
                <w:color w:val="2E7D32"/>
                <w:sz w:val="17"/>
              </w:rPr>
              <w:t>Complete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Validated in V3.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Temporary scripts removed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shd w:fill="E2F0D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b/>
                <w:color w:val="2E7D32"/>
                <w:sz w:val="17"/>
              </w:rPr>
              <w:t>Complete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Validated in V3.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Consolidated validator promoted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shd w:fill="E2F0D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b/>
                <w:color w:val="2E7D32"/>
                <w:sz w:val="17"/>
              </w:rPr>
              <w:t>Complete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Validated in V3.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Stakeholder presentation prepared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shd w:fill="FFF2CC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b/>
                <w:color w:val="9C6500"/>
                <w:sz w:val="17"/>
              </w:rPr>
              <w:t>Pending / deferred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To be completed when needed.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Viewer access rollout completed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shd w:fill="FFF2CC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b/>
                <w:color w:val="9C6500"/>
                <w:sz w:val="17"/>
              </w:rPr>
              <w:t>Pending / deferred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To be completed when needed.</w:t>
            </w:r>
          </w:p>
        </w:tc>
      </w:tr>
      <w:tr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SAS rotation completed before 20 August 2026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shd w:fill="FFF2CC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b/>
                <w:color w:val="9C6500"/>
                <w:sz w:val="17"/>
              </w:rPr>
              <w:t>Pending / deferred</w:t>
            </w:r>
          </w:p>
        </w:tc>
        <w:tc>
          <w:tcPr>
            <w:tcW w:type="dxa" w:w="3389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Required before expiry.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B"/>
            <w:tcBorders>
              <w:top w:val="single" w:sz="10" w:color="5B9BD5"/>
              <w:left w:val="single" w:sz="24" w:color="5B9BD5"/>
              <w:bottom w:val="single" w:sz="10" w:color="5B9BD5"/>
              <w:right w:val="single" w:sz="10" w:color="5B9BD5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E79"/>
                <w:sz w:val="22"/>
              </w:rPr>
              <w:t>Final operational status</w:t>
            </w:r>
          </w:p>
          <w:p>
            <w:pPr>
              <w:spacing w:after="0"/>
            </w:pPr>
            <w:r>
              <w:rPr>
                <w:sz w:val="20"/>
              </w:rPr>
              <w:t>AEGIS Forecast Drift V3 is deployed, validated, cleaned, and ready for stakeholder review. The only time-sensitive maintenance item is SAS rotation before 20 August 2026.</w:t>
            </w:r>
          </w:p>
        </w:tc>
      </w:tr>
    </w:tbl>
    <w:p>
      <w:pPr>
        <w:pStyle w:val="Heading1"/>
      </w:pPr>
      <w:r>
        <w:t>Appendix A. Dashboard URLs</w:t>
      </w:r>
    </w:p>
    <w:p>
      <w:pPr>
        <w:spacing w:after="80"/>
      </w:pPr>
      <w:r>
        <w:rPr>
          <w:b/>
        </w:rPr>
        <w:t xml:space="preserve">Overview: </w:t>
      </w:r>
      <w:hyperlink r:id="rId12">
        <w:r>
          <w:rPr>
            <w:color w:val="0563C1"/>
            <w:u w:val="single"/>
          </w:rPr>
          <w:t>https://CapswatComparisions-cmh3h3bfa2fsckca.wus2.grafana.azure.com/d/aegis-forecast-drift-foundation/</w:t>
        </w:r>
      </w:hyperlink>
    </w:p>
    <w:p>
      <w:pPr>
        <w:spacing w:after="80"/>
      </w:pPr>
      <w:r>
        <w:rPr>
          <w:b/>
        </w:rPr>
        <w:t xml:space="preserve">Forecast: </w:t>
      </w:r>
      <w:hyperlink r:id="rId13">
        <w:r>
          <w:rPr>
            <w:color w:val="0563C1"/>
            <w:u w:val="single"/>
          </w:rPr>
          <w:t>https://CapswatComparisions-cmh3h3bfa2fsckca.wus2.grafana.azure.com/d/aegis-forecast-drift-forecast/</w:t>
        </w:r>
      </w:hyperlink>
    </w:p>
    <w:p>
      <w:pPr>
        <w:spacing w:after="80"/>
      </w:pPr>
      <w:r>
        <w:rPr>
          <w:b/>
        </w:rPr>
        <w:t xml:space="preserve">Performance: </w:t>
      </w:r>
      <w:hyperlink r:id="rId14">
        <w:r>
          <w:rPr>
            <w:color w:val="0563C1"/>
            <w:u w:val="single"/>
          </w:rPr>
          <w:t>https://CapswatComparisions-cmh3h3bfa2fsckca.wus2.grafana.azure.com/d/aegis-forecast-drift-performance/</w:t>
        </w:r>
      </w:hyperlink>
    </w:p>
    <w:p>
      <w:pPr>
        <w:spacing w:after="80"/>
      </w:pPr>
      <w:r>
        <w:rPr>
          <w:b/>
        </w:rPr>
        <w:t xml:space="preserve">Shape: </w:t>
      </w:r>
      <w:hyperlink r:id="rId15">
        <w:r>
          <w:rPr>
            <w:color w:val="0563C1"/>
            <w:u w:val="single"/>
          </w:rPr>
          <w:t>https://CapswatComparisions-cmh3h3bfa2fsckca.wus2.grafana.azure.com/d/aegis-forecast-drift-shape/</w:t>
        </w:r>
      </w:hyperlink>
    </w:p>
    <w:p>
      <w:pPr>
        <w:spacing w:after="80"/>
      </w:pPr>
      <w:r>
        <w:rPr>
          <w:b/>
        </w:rPr>
        <w:t xml:space="preserve">Stability: </w:t>
      </w:r>
      <w:hyperlink r:id="rId16">
        <w:r>
          <w:rPr>
            <w:color w:val="0563C1"/>
            <w:u w:val="single"/>
          </w:rPr>
          <w:t>https://CapswatComparisions-cmh3h3bfa2fsckca.wus2.grafana.azure.com/d/aegis-forecast-drift-stability/</w:t>
        </w:r>
      </w:hyperlink>
    </w:p>
    <w:p>
      <w:pPr>
        <w:spacing w:after="80"/>
      </w:pPr>
      <w:r>
        <w:rPr>
          <w:b/>
        </w:rPr>
        <w:t xml:space="preserve">Volatility: </w:t>
      </w:r>
      <w:hyperlink r:id="rId17">
        <w:r>
          <w:rPr>
            <w:color w:val="0563C1"/>
            <w:u w:val="single"/>
          </w:rPr>
          <w:t>https://CapswatComparisions-cmh3h3bfa2fsckca.wus2.grafana.azure.com/d/aegis-forecast-drift-volatility/</w:t>
        </w:r>
      </w:hyperlink>
    </w:p>
    <w:p>
      <w:pPr>
        <w:spacing w:after="80"/>
      </w:pPr>
      <w:r>
        <w:rPr>
          <w:b/>
        </w:rPr>
        <w:t xml:space="preserve">Events: </w:t>
      </w:r>
      <w:hyperlink r:id="rId18">
        <w:r>
          <w:rPr>
            <w:color w:val="0563C1"/>
            <w:u w:val="single"/>
          </w:rPr>
          <w:t>https://CapswatComparisions-cmh3h3bfa2fsckca.wus2.grafana.azure.com/d/aegis-forecast-drift-events/</w:t>
        </w:r>
      </w:hyperlink>
    </w:p>
    <w:p>
      <w:pPr>
        <w:spacing w:after="80"/>
      </w:pPr>
      <w:r>
        <w:rPr>
          <w:b/>
        </w:rPr>
        <w:t xml:space="preserve">Historical Timeline: </w:t>
      </w:r>
      <w:hyperlink r:id="rId19">
        <w:r>
          <w:rPr>
            <w:color w:val="0563C1"/>
            <w:u w:val="single"/>
          </w:rPr>
          <w:t>https://CapswatComparisions-cmh3h3bfa2fsckca.wus2.grafana.azure.com/d/aegis-forecast-drift-timeline/</w:t>
        </w:r>
      </w:hyperlink>
    </w:p>
    <w:p>
      <w:pPr>
        <w:spacing w:after="80"/>
      </w:pPr>
      <w:r>
        <w:rPr>
          <w:b/>
        </w:rPr>
        <w:t xml:space="preserve">Top Risk: </w:t>
      </w:r>
      <w:hyperlink r:id="rId20">
        <w:r>
          <w:rPr>
            <w:color w:val="0563C1"/>
            <w:u w:val="single"/>
          </w:rPr>
          <w:t>https://CapswatComparisions-cmh3h3bfa2fsckca.wus2.grafana.azure.com/d/aegis-forecast-drift-top-keys/</w:t>
        </w:r>
      </w:hyperlink>
    </w:p>
    <w:p>
      <w:pPr>
        <w:spacing w:after="80"/>
      </w:pPr>
      <w:r>
        <w:rPr>
          <w:b/>
        </w:rPr>
        <w:t xml:space="preserve">Settings &amp; Data Quality: </w:t>
      </w:r>
      <w:hyperlink r:id="rId21">
        <w:r>
          <w:rPr>
            <w:color w:val="0563C1"/>
            <w:u w:val="single"/>
          </w:rPr>
          <w:t>https://CapswatComparisions-cmh3h3bfa2fsckca.wus2.grafana.azure.com/d/aegis-forecast-drift-settings/</w:t>
        </w:r>
      </w:hyperlink>
    </w:p>
    <w:p>
      <w:r>
        <w:br w:type="page"/>
      </w:r>
    </w:p>
    <w:p>
      <w:pPr>
        <w:pStyle w:val="Heading1"/>
      </w:pPr>
      <w:r>
        <w:t>Appendix B. Closure Tokens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5083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Consolas" w:hAnsi="Consolas"/>
                <w:sz w:val="16"/>
              </w:rPr>
              <w:t>V3_2_INFINITY_PLUGIN_INSTALLED_VALIDATED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Infinity plugin installed and enabled.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Consolas" w:hAnsi="Consolas"/>
                <w:sz w:val="16"/>
              </w:rPr>
              <w:t>V3_3_OVERVIEW_DATA_PLANE_READY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Private data plane prepared and validated.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Consolas" w:hAnsi="Consolas"/>
                <w:sz w:val="16"/>
              </w:rPr>
              <w:t>V3_4_INFINITY_DATASOURCE_CREATED_VALIDATED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Secure Infinity datasource created.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Consolas" w:hAnsi="Consolas"/>
                <w:sz w:val="16"/>
              </w:rPr>
              <w:t>V3_5_1_OVERVIEW_FILTER_FIX_VISUALLY_REACCEPTED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Overview filter issue corrected and visually accepted.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Consolas" w:hAnsi="Consolas"/>
                <w:sz w:val="16"/>
              </w:rPr>
              <w:t>V3_6_REMAINING_DASHBOARDS_DATA_PLANE_READY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All required CSV artifacts available in Blob Storage.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Consolas" w:hAnsi="Consolas"/>
                <w:sz w:val="16"/>
              </w:rPr>
              <w:t>V3_9_ALL_DASHBOARDS_VERTICAL_SIDEBAR_VISUALLY_ACCEPTED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Vertical navigation accepted across the suite.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Consolas" w:hAnsi="Consolas"/>
                <w:sz w:val="16"/>
              </w:rPr>
              <w:t>V3_11_2_ALL_VISIBLE_TECHNICAL_TEXT_CLEANED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Visible technical implementation text removed.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Consolas" w:hAnsi="Consolas"/>
                <w:sz w:val="16"/>
              </w:rPr>
              <w:t>V3_12_TEMPORARY_SCRIPTS_CLEANUP_COMPLETED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Temporary scripts and debugging outputs removed.</w:t>
            </w:r>
          </w:p>
        </w:tc>
      </w:tr>
      <w:tr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rFonts w:ascii="Consolas" w:hAnsi="Consolas"/>
                <w:sz w:val="16"/>
              </w:rPr>
              <w:t>V3_12_FINAL_TECHNICAL_CLEANUP_COMPLETED</w:t>
            </w:r>
          </w:p>
        </w:tc>
        <w:tc>
          <w:tcPr>
            <w:tcW w:type="dxa" w:w="5083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sz w:val="17"/>
              </w:rPr>
              <w:t>Final technical cleanup completed.</w:t>
            </w:r>
          </w:p>
        </w:tc>
      </w:tr>
    </w:tbl>
    <w:p>
      <w:pPr>
        <w:spacing w:before="240"/>
        <w:jc w:val="center"/>
      </w:pPr>
      <w:r>
        <w:rPr>
          <w:i/>
          <w:color w:val="6B7280"/>
          <w:sz w:val="18"/>
        </w:rPr>
        <w:t>End of document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t xml:space="preserve">Internal project documentation  •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7"/>
      </w:rPr>
      <w:t>AEGIS Forecast Drift  |  Final Delivery Package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Caption">
    <w:name w:val="Small Caption"/>
    <w:pPr>
      <w:spacing w:after="80"/>
    </w:pPr>
    <w:rPr>
      <w:rFonts w:ascii="Aptos" w:hAnsi="Aptos"/>
      <w:color w:val="6B728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CapswatComparisions-cmh3h3bfa2fsckca.wus2.grafana.azure.com/d/aegis-forecast-drift-foundation/" TargetMode="External"/><Relationship Id="rId13" Type="http://schemas.openxmlformats.org/officeDocument/2006/relationships/hyperlink" Target="https://CapswatComparisions-cmh3h3bfa2fsckca.wus2.grafana.azure.com/d/aegis-forecast-drift-forecast/" TargetMode="External"/><Relationship Id="rId14" Type="http://schemas.openxmlformats.org/officeDocument/2006/relationships/hyperlink" Target="https://CapswatComparisions-cmh3h3bfa2fsckca.wus2.grafana.azure.com/d/aegis-forecast-drift-performance/" TargetMode="External"/><Relationship Id="rId15" Type="http://schemas.openxmlformats.org/officeDocument/2006/relationships/hyperlink" Target="https://CapswatComparisions-cmh3h3bfa2fsckca.wus2.grafana.azure.com/d/aegis-forecast-drift-shape/" TargetMode="External"/><Relationship Id="rId16" Type="http://schemas.openxmlformats.org/officeDocument/2006/relationships/hyperlink" Target="https://CapswatComparisions-cmh3h3bfa2fsckca.wus2.grafana.azure.com/d/aegis-forecast-drift-stability/" TargetMode="External"/><Relationship Id="rId17" Type="http://schemas.openxmlformats.org/officeDocument/2006/relationships/hyperlink" Target="https://CapswatComparisions-cmh3h3bfa2fsckca.wus2.grafana.azure.com/d/aegis-forecast-drift-volatility/" TargetMode="External"/><Relationship Id="rId18" Type="http://schemas.openxmlformats.org/officeDocument/2006/relationships/hyperlink" Target="https://CapswatComparisions-cmh3h3bfa2fsckca.wus2.grafana.azure.com/d/aegis-forecast-drift-events/" TargetMode="External"/><Relationship Id="rId19" Type="http://schemas.openxmlformats.org/officeDocument/2006/relationships/hyperlink" Target="https://CapswatComparisions-cmh3h3bfa2fsckca.wus2.grafana.azure.com/d/aegis-forecast-drift-timeline/" TargetMode="External"/><Relationship Id="rId20" Type="http://schemas.openxmlformats.org/officeDocument/2006/relationships/hyperlink" Target="https://CapswatComparisions-cmh3h3bfa2fsckca.wus2.grafana.azure.com/d/aegis-forecast-drift-top-keys/" TargetMode="External"/><Relationship Id="rId21" Type="http://schemas.openxmlformats.org/officeDocument/2006/relationships/hyperlink" Target="https://CapswatComparisions-cmh3h3bfa2fsckca.wus2.grafana.azure.com/d/aegis-forecast-drift-setting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AEGIS Forecast Drift - Final Delivery Package</dc:title>
  <dc:subject>Azure Managed Grafana deployment, validation, maintenance, and handoff</dc:subject>
  <dc:creator>Oscar Javier Centeno Mora</dc:creator>
  <cp:keywords>AEGIS, Forecast Drift, Azure Managed Grafana, Infinity, Azure Blob Storage, governance</cp:keywords>
  <dc:description>Prepared as a final delivery and handoff package.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