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pPr>
      <w:r>
        <w:rPr>
          <w:rFonts w:ascii="Arial" w:cs="Arial" w:eastAsia="Arial" w:hAnsi="Arial"/>
          <w:b w:val="false"/>
          <w:bCs w:val="false"/>
          <w:i w:val="false"/>
          <w:iCs w:val="false"/>
          <w:color w:val="1A1A1A"/>
          <w:sz w:val="22"/>
          <w:szCs w:val="22"/>
        </w:rPr>
        <w:t xml:space="preserve"> </w:t>
      </w:r>
    </w:p>
    <w:p>
      <w:pPr>
        <w:spacing w:after="160" w:before="0"/>
        <w:jc w:val="center"/>
      </w:pPr>
      <w:r>
        <w:rPr>
          <w:rFonts w:ascii="Arial" w:cs="Arial" w:eastAsia="Arial" w:hAnsi="Arial"/>
          <w:b/>
          <w:bCs/>
          <w:i w:val="false"/>
          <w:iCs w:val="false"/>
          <w:color w:val="1B3A6B"/>
          <w:sz w:val="60"/>
          <w:szCs w:val="60"/>
        </w:rPr>
        <w:t xml:space="preserve">INVESTMENT MEMO</w:t>
      </w:r>
    </w:p>
    <w:p>
      <w:pPr>
        <w:spacing w:after="80" w:before="0"/>
        <w:jc w:val="center"/>
      </w:pPr>
      <w:r>
        <w:rPr>
          <w:rFonts w:ascii="Arial" w:cs="Arial" w:eastAsia="Arial" w:hAnsi="Arial"/>
          <w:b w:val="false"/>
          <w:bCs w:val="false"/>
          <w:i w:val="false"/>
          <w:iCs w:val="false"/>
          <w:color w:val="2E5FA3"/>
          <w:sz w:val="32"/>
          <w:szCs w:val="32"/>
        </w:rPr>
        <w:t xml:space="preserve">Sistema de Trading Algorítmico</w:t>
      </w:r>
    </w:p>
    <w:p>
      <w:pPr>
        <w:spacing w:after="500" w:before="0"/>
        <w:jc w:val="center"/>
      </w:pPr>
      <w:r>
        <w:rPr>
          <w:rFonts w:ascii="Arial" w:cs="Arial" w:eastAsia="Arial" w:hAnsi="Arial"/>
          <w:b w:val="false"/>
          <w:bCs w:val="false"/>
          <w:i/>
          <w:iCs/>
          <w:color w:val="5F5E5A"/>
          <w:sz w:val="22"/>
          <w:szCs w:val="22"/>
        </w:rPr>
        <w:t xml:space="preserve">Documento rector de mandato, capital y límites operativos</w:t>
      </w:r>
    </w:p>
    <w:p>
      <w:pPr>
        <w:pBdr>
          <w:bottom w:val="single" w:color="BA7517" w:sz="6"/>
        </w:pBdr>
        <w:spacing w:after="400" w:before="0"/>
      </w:pPr>
      <w:r>
        <w:rPr>
          <w:rFonts w:ascii="Arial" w:cs="Arial" w:eastAsia="Arial" w:hAnsi="Arial"/>
          <w:b w:val="false"/>
          <w:bCs w:val="false"/>
          <w:i w:val="false"/>
          <w:iCs w:val="false"/>
          <w:color w:val="1A1A1A"/>
          <w:sz w:val="22"/>
          <w:szCs w:val="22"/>
        </w:rPr>
        <w:t xml:space="preserve"/>
      </w:r>
    </w:p>
    <w:p>
      <w:pPr>
        <w:spacing w:after="60" w:before="0"/>
        <w:jc w:val="center"/>
      </w:pPr>
      <w:r>
        <w:rPr>
          <w:rFonts w:ascii="Arial" w:cs="Arial" w:eastAsia="Arial" w:hAnsi="Arial"/>
          <w:b w:val="false"/>
          <w:bCs w:val="false"/>
          <w:i w:val="false"/>
          <w:iCs w:val="false"/>
          <w:color w:val="5F5E5A"/>
          <w:sz w:val="22"/>
          <w:szCs w:val="22"/>
        </w:rPr>
        <w:t xml:space="preserve">Versión 1.1  —  Marzo 2026</w:t>
      </w:r>
    </w:p>
    <w:p>
      <w:pPr>
        <w:spacing w:after="0" w:before="0"/>
        <w:jc w:val="center"/>
      </w:pPr>
      <w:r>
        <w:rPr>
          <w:rFonts w:ascii="Arial" w:cs="Arial" w:eastAsia="Arial" w:hAnsi="Arial"/>
          <w:b w:val="false"/>
          <w:bCs w:val="false"/>
          <w:i/>
          <w:iCs/>
          <w:color w:val="5F5E5A"/>
          <w:sz w:val="20"/>
          <w:szCs w:val="20"/>
        </w:rPr>
        <w:t xml:space="preserve">Alineado con Blueprint Maestro v1.1</w:t>
      </w:r>
    </w:p>
    <w:p>
      <w:pPr>
        <w:spacing w:after="0" w:before="0"/>
      </w:pPr>
      <w:r>
        <w:br w:type="page"/>
      </w:r>
    </w:p>
    <w:p>
      <w:pPr>
        <w:pStyle w:val="Heading1"/>
        <w:pBdr>
          <w:bottom w:val="single" w:color="BA7517" w:sz="3"/>
        </w:pBdr>
        <w:shd w:fill="1B3A6B" w:val="clear"/>
        <w:spacing w:after="100" w:before="320"/>
        <w:ind w:left="120" w:right="120"/>
      </w:pPr>
      <w:r>
        <w:rPr>
          <w:rFonts w:ascii="Arial" w:cs="Arial" w:eastAsia="Arial" w:hAnsi="Arial"/>
          <w:b/>
          <w:bCs/>
          <w:i w:val="false"/>
          <w:iCs w:val="false"/>
          <w:color w:val="FFFFFF"/>
          <w:sz w:val="30"/>
          <w:szCs w:val="30"/>
        </w:rPr>
        <w:t xml:space="preserve">1. Declaración de Mandato</w:t>
      </w:r>
    </w:p>
    <w:p>
      <w:pPr>
        <w:spacing w:after="80" w:before="0"/>
      </w:pPr>
      <w:r>
        <w:rPr>
          <w:rFonts w:ascii="Arial" w:cs="Arial" w:eastAsia="Arial" w:hAnsi="Arial"/>
          <w:b w:val="false"/>
          <w:bCs w:val="false"/>
          <w:i w:val="false"/>
          <w:iCs w:val="false"/>
          <w:color w:val="1A1A1A"/>
          <w:sz w:val="22"/>
          <w:szCs w:val="22"/>
        </w:rPr>
        <w:t xml:space="preserve"> </w:t>
      </w:r>
    </w:p>
    <w:p>
      <w:pPr>
        <w:pBdr>
          <w:left w:val="single" w:color="2E5FA3" w:sz="8"/>
        </w:pBdr>
        <w:shd w:fill="E6F1FB" w:val="clear"/>
        <w:spacing w:after="80" w:before="80"/>
        <w:ind w:left="200" w:right="200"/>
      </w:pPr>
      <w:r>
        <w:rPr>
          <w:rFonts w:ascii="Arial" w:cs="Arial" w:eastAsia="Arial" w:hAnsi="Arial"/>
          <w:b/>
          <w:bCs/>
          <w:i w:val="false"/>
          <w:iCs w:val="false"/>
          <w:color w:val="1B3A6B"/>
          <w:sz w:val="21"/>
          <w:szCs w:val="21"/>
        </w:rPr>
        <w:t xml:space="preserve">Construir y operar un sistema de trading algorítmico cuantitativo sobre activos cripto, orientado a generación de retornos consistentes ajustados por riesgo, a través de señales sistemáticas basadas en datos limpios, análisis técnico y análisis macro, con gestión de riesgo independiente y despliegue gradual desde paper trading hasta capital real.</w:t>
      </w:r>
    </w:p>
    <w:p>
      <w:pPr>
        <w:spacing w:after="100" w:before="0"/>
      </w:pPr>
      <w:r>
        <w:rPr>
          <w:rFonts w:ascii="Arial" w:cs="Arial" w:eastAsia="Arial" w:hAnsi="Arial"/>
          <w:b w:val="false"/>
          <w:bCs w:val="false"/>
          <w:i w:val="false"/>
          <w:iCs w:val="false"/>
          <w:color w:val="1A1A1A"/>
          <w:sz w:val="22"/>
          <w:szCs w:val="22"/>
        </w:rPr>
        <w:t xml:space="preserve"> </w:t>
      </w:r>
    </w:p>
    <w:p>
      <w:pPr>
        <w:pStyle w:val="Heading3"/>
        <w:pBdr>
          <w:bottom w:val="single" w:color="2E5FA3" w:sz="2"/>
        </w:pBdr>
        <w:spacing w:after="60" w:before="180"/>
      </w:pPr>
      <w:r>
        <w:rPr>
          <w:rFonts w:ascii="Arial" w:cs="Arial" w:eastAsia="Arial" w:hAnsi="Arial"/>
          <w:b/>
          <w:bCs/>
          <w:i w:val="false"/>
          <w:iCs w:val="false"/>
          <w:color w:val="1B3A6B"/>
          <w:sz w:val="22"/>
          <w:szCs w:val="22"/>
        </w:rPr>
        <w:t xml:space="preserve">Contexto del operador</w:t>
      </w:r>
    </w:p>
    <w:p>
      <w:pPr>
        <w:spacing w:after="60" w:before="0"/>
      </w:pPr>
      <w:r>
        <w:rPr>
          <w:rFonts w:ascii="Arial" w:cs="Arial" w:eastAsia="Arial" w:hAnsi="Arial"/>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i w:val="false"/>
                <w:iCs w:val="false"/>
                <w:color w:val="FFFFFF"/>
                <w:sz w:val="21"/>
                <w:szCs w:val="21"/>
              </w:rPr>
              <w:t xml:space="preserve">Parámetro</w:t>
            </w:r>
          </w:p>
        </w:tc>
        <w:tc>
          <w:tcPr>
            <w:tcW w:type="dxa" w:w="636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i w:val="false"/>
                <w:iCs w:val="false"/>
                <w:color w:val="FFFFFF"/>
                <w:sz w:val="21"/>
                <w:szCs w:val="21"/>
              </w:rPr>
              <w:t xml:space="preserve">Definición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i w:val="false"/>
                <w:iCs w:val="false"/>
                <w:color w:val="1B3A6B"/>
                <w:sz w:val="21"/>
                <w:szCs w:val="21"/>
              </w:rPr>
              <w:t xml:space="preserve">Experiencia previa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3–4 años operando cripto de forma discrecional. Capital inicial de $1,000 escalado a ~$4,000 mediante trading activo.</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bCs/>
                <w:i w:val="false"/>
                <w:iCs w:val="false"/>
                <w:color w:val="1B3A6B"/>
                <w:sz w:val="21"/>
                <w:szCs w:val="21"/>
              </w:rPr>
              <w:t xml:space="preserve">Perfil</w:t>
            </w:r>
          </w:p>
        </w:tc>
        <w:tc>
          <w:tcPr>
            <w:tcW w:type="dxa" w:w="636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Trader retail con historial demostrado de rentabilidad. Pasa a sistema algorítmico para eliminar sesgo emocional y escalar con disciplina.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i w:val="false"/>
                <w:iCs w:val="false"/>
                <w:color w:val="1B3A6B"/>
                <w:sz w:val="21"/>
                <w:szCs w:val="21"/>
              </w:rPr>
              <w:t xml:space="preserve">Acceso tecnológico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Acceso a recursos Microsoft (Azure, Power BI). Capacidad de desarrollo en Python. Conocimiento de Airflow y herramientas de datos.</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bCs/>
                <w:i w:val="false"/>
                <w:iCs w:val="false"/>
                <w:color w:val="1B3A6B"/>
                <w:sz w:val="21"/>
                <w:szCs w:val="21"/>
              </w:rPr>
              <w:t xml:space="preserve">Situación actual</w:t>
            </w:r>
          </w:p>
        </w:tc>
        <w:tc>
          <w:tcPr>
            <w:tcW w:type="dxa" w:w="636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Capital total disponible ~$4,000. Sistema en Fase 0: construcción de infraestructura y mandato. Sin operaciones live automatizadas aún.</w:t>
            </w:r>
          </w:p>
        </w:tc>
      </w:tr>
    </w:tbl>
    <w:p>
      <w:pPr>
        <w:spacing w:after="60" w:before="0"/>
      </w:pPr>
      <w:r>
        <w:rPr>
          <w:rFonts w:ascii="Arial" w:cs="Arial" w:eastAsia="Arial" w:hAnsi="Arial"/>
          <w:b w:val="false"/>
          <w:bCs w:val="false"/>
          <w:i w:val="false"/>
          <w:iCs w:val="false"/>
          <w:color w:val="1A1A1A"/>
          <w:sz w:val="22"/>
          <w:szCs w:val="22"/>
        </w:rPr>
        <w:t xml:space="preserve"> </w:t>
      </w:r>
    </w:p>
    <w:p>
      <w:pPr>
        <w:spacing w:after="0" w:before="0"/>
      </w:pPr>
      <w:r>
        <w:br w:type="page"/>
      </w:r>
    </w:p>
    <w:p>
      <w:pPr>
        <w:pStyle w:val="Heading1"/>
        <w:pBdr>
          <w:bottom w:val="single" w:color="BA7517" w:sz="3"/>
        </w:pBdr>
        <w:shd w:fill="1B3A6B" w:val="clear"/>
        <w:spacing w:after="100" w:before="320"/>
        <w:ind w:left="120" w:right="120"/>
      </w:pPr>
      <w:r>
        <w:rPr>
          <w:rFonts w:ascii="Arial" w:cs="Arial" w:eastAsia="Arial" w:hAnsi="Arial"/>
          <w:b/>
          <w:bCs/>
          <w:i w:val="false"/>
          <w:iCs w:val="false"/>
          <w:color w:val="FFFFFF"/>
          <w:sz w:val="30"/>
          <w:szCs w:val="30"/>
        </w:rPr>
        <w:t xml:space="preserve">2. Capital y Asignación</w:t>
      </w:r>
    </w:p>
    <w:p>
      <w:pPr>
        <w:spacing w:after="80" w:before="0"/>
      </w:pPr>
      <w:r>
        <w:rPr>
          <w:rFonts w:ascii="Arial" w:cs="Arial" w:eastAsia="Arial" w:hAnsi="Arial"/>
          <w:b w:val="false"/>
          <w:bCs w:val="false"/>
          <w:i w:val="false"/>
          <w:iCs w:val="false"/>
          <w:color w:val="1A1A1A"/>
          <w:sz w:val="22"/>
          <w:szCs w:val="22"/>
        </w:rPr>
        <w:t xml:space="preserve"> </w:t>
      </w:r>
    </w:p>
    <w:p>
      <w:pPr>
        <w:pStyle w:val="Heading3"/>
        <w:pBdr>
          <w:bottom w:val="single" w:color="2E5FA3" w:sz="2"/>
        </w:pBdr>
        <w:spacing w:after="60" w:before="180"/>
      </w:pPr>
      <w:r>
        <w:rPr>
          <w:rFonts w:ascii="Arial" w:cs="Arial" w:eastAsia="Arial" w:hAnsi="Arial"/>
          <w:b/>
          <w:bCs/>
          <w:i w:val="false"/>
          <w:iCs w:val="false"/>
          <w:color w:val="1B3A6B"/>
          <w:sz w:val="22"/>
          <w:szCs w:val="22"/>
        </w:rPr>
        <w:t xml:space="preserve">2.1 Estructura de capital</w:t>
      </w:r>
    </w:p>
    <w:p>
      <w:pPr>
        <w:spacing w:after="60" w:before="0"/>
      </w:pPr>
      <w:r>
        <w:rPr>
          <w:rFonts w:ascii="Arial" w:cs="Arial" w:eastAsia="Arial" w:hAnsi="Arial"/>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i w:val="false"/>
                <w:iCs w:val="false"/>
                <w:color w:val="FFFFFF"/>
                <w:sz w:val="21"/>
                <w:szCs w:val="21"/>
              </w:rPr>
              <w:t xml:space="preserve">Concepto</w:t>
            </w:r>
          </w:p>
        </w:tc>
        <w:tc>
          <w:tcPr>
            <w:tcW w:type="dxa" w:w="636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i w:val="false"/>
                <w:iCs w:val="false"/>
                <w:color w:val="FFFFFF"/>
                <w:sz w:val="21"/>
                <w:szCs w:val="21"/>
              </w:rPr>
              <w:t xml:space="preserve">Monto / Criterio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i w:val="false"/>
                <w:iCs w:val="false"/>
                <w:color w:val="1B3A6B"/>
                <w:sz w:val="21"/>
                <w:szCs w:val="21"/>
              </w:rPr>
              <w:t xml:space="preserve">Capital total disponible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~$4,000 USD</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bCs/>
                <w:i w:val="false"/>
                <w:iCs w:val="false"/>
                <w:color w:val="1B3A6B"/>
                <w:sz w:val="21"/>
                <w:szCs w:val="21"/>
              </w:rPr>
              <w:t xml:space="preserve">Capital asignado al sistema (Fase 0–3)</w:t>
            </w:r>
          </w:p>
        </w:tc>
        <w:tc>
          <w:tcPr>
            <w:tcW w:type="dxa" w:w="636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$1,500 USD (37.5% del total) — para infraestructura y backtesting. Sin operaciones reales.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i w:val="false"/>
                <w:iCs w:val="false"/>
                <w:color w:val="1B3A6B"/>
                <w:sz w:val="21"/>
                <w:szCs w:val="21"/>
              </w:rPr>
              <w:t xml:space="preserve">Capital en reserva (fuera del sistema)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$2,500 USD — bloqueado hasta completar paper trading validado. No tocar.</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bCs/>
                <w:i w:val="false"/>
                <w:iCs w:val="false"/>
                <w:color w:val="1B3A6B"/>
                <w:sz w:val="21"/>
                <w:szCs w:val="21"/>
              </w:rPr>
              <w:t xml:space="preserve">Capital nocional en paper (Fase 4)</w:t>
            </w:r>
          </w:p>
        </w:tc>
        <w:tc>
          <w:tcPr>
            <w:tcW w:type="dxa" w:w="636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$1,500 USD nocionales simulados — NO es capital real. Es el monto equivalente que el sistema opera virtualmente para generar métricas comparables al live-small posterior.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i w:val="false"/>
                <w:iCs w:val="false"/>
                <w:color w:val="1B3A6B"/>
                <w:sz w:val="21"/>
                <w:szCs w:val="21"/>
              </w:rPr>
              <w:t xml:space="preserve">Capital real live-small (Fase 5 inicio)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$1,500 USD reales — primer despliegue con dinero real, solo tras cumplir condiciones de promoción de paper.</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bCs/>
                <w:i w:val="false"/>
                <w:iCs w:val="false"/>
                <w:color w:val="1B3A6B"/>
                <w:sz w:val="21"/>
                <w:szCs w:val="21"/>
              </w:rPr>
              <w:t xml:space="preserve">Capital para escalar (Fase 5 avanzado)</w:t>
            </w:r>
          </w:p>
        </w:tc>
        <w:tc>
          <w:tcPr>
            <w:tcW w:type="dxa" w:w="636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Hasta $3,000 USD — solo si métricas de live-small son positivas por 8 semanas consecutivas.</w:t>
            </w:r>
          </w:p>
        </w:tc>
      </w:tr>
    </w:tbl>
    <w:p>
      <w:pPr>
        <w:spacing w:after="60" w:before="0"/>
      </w:pPr>
      <w:r>
        <w:rPr>
          <w:rFonts w:ascii="Arial" w:cs="Arial" w:eastAsia="Arial" w:hAnsi="Arial"/>
          <w:b w:val="false"/>
          <w:bCs w:val="false"/>
          <w:i w:val="false"/>
          <w:iCs w:val="false"/>
          <w:color w:val="1A1A1A"/>
          <w:sz w:val="22"/>
          <w:szCs w:val="22"/>
        </w:rPr>
        <w:t xml:space="preserve"> </w:t>
      </w:r>
    </w:p>
    <w:p>
      <w:pPr>
        <w:pBdr>
          <w:left w:val="single" w:color="BA7517" w:sz="8"/>
        </w:pBdr>
        <w:shd w:fill="FFF3CD" w:val="clear"/>
        <w:spacing w:after="60" w:before="60"/>
        <w:ind w:left="200"/>
      </w:pPr>
      <w:r>
        <w:rPr>
          <w:rFonts w:ascii="Arial" w:cs="Arial" w:eastAsia="Arial" w:hAnsi="Arial"/>
          <w:b/>
          <w:bCs/>
          <w:i w:val="false"/>
          <w:iCs w:val="false"/>
          <w:color w:val="BA7517"/>
          <w:sz w:val="20"/>
          <w:szCs w:val="20"/>
        </w:rPr>
        <w:t xml:space="preserve">NOTA: </w:t>
      </w:r>
      <w:r>
        <w:rPr>
          <w:rFonts w:ascii="Arial" w:cs="Arial" w:eastAsia="Arial" w:hAnsi="Arial"/>
          <w:b w:val="false"/>
          <w:bCs w:val="false"/>
          <w:i/>
          <w:iCs/>
          <w:color w:val="BA7517"/>
          <w:sz w:val="20"/>
          <w:szCs w:val="20"/>
        </w:rPr>
        <w:t xml:space="preserve">El capital de reserva ($2,500) no entra al sistema hasta que el paper trading haya producido al menos 4 semanas de resultados documentados y positivos. Esta regla es inapelable.</w:t>
      </w:r>
    </w:p>
    <w:p>
      <w:pPr>
        <w:spacing w:after="80" w:before="0"/>
      </w:pPr>
      <w:r>
        <w:rPr>
          <w:rFonts w:ascii="Arial" w:cs="Arial" w:eastAsia="Arial" w:hAnsi="Arial"/>
          <w:b w:val="false"/>
          <w:bCs w:val="false"/>
          <w:i w:val="false"/>
          <w:iCs w:val="false"/>
          <w:color w:val="1A1A1A"/>
          <w:sz w:val="22"/>
          <w:szCs w:val="22"/>
        </w:rPr>
        <w:t xml:space="preserve"> </w:t>
      </w:r>
    </w:p>
    <w:p>
      <w:pPr>
        <w:pStyle w:val="Heading3"/>
        <w:pBdr>
          <w:bottom w:val="single" w:color="2E5FA3" w:sz="2"/>
        </w:pBdr>
        <w:spacing w:after="60" w:before="180"/>
      </w:pPr>
      <w:r>
        <w:rPr>
          <w:rFonts w:ascii="Arial" w:cs="Arial" w:eastAsia="Arial" w:hAnsi="Arial"/>
          <w:b/>
          <w:bCs/>
          <w:i w:val="false"/>
          <w:iCs w:val="false"/>
          <w:color w:val="1B3A6B"/>
          <w:sz w:val="22"/>
          <w:szCs w:val="22"/>
        </w:rPr>
        <w:t xml:space="preserve">2.2 Asignación por fase</w:t>
      </w:r>
    </w:p>
    <w:p>
      <w:pPr>
        <w:spacing w:after="60" w:before="0"/>
      </w:pPr>
      <w:r>
        <w:rPr>
          <w:rFonts w:ascii="Arial" w:cs="Arial" w:eastAsia="Arial" w:hAnsi="Arial"/>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i w:val="false"/>
                <w:iCs w:val="false"/>
                <w:color w:val="FFFFFF"/>
                <w:sz w:val="21"/>
                <w:szCs w:val="21"/>
              </w:rPr>
              <w:t xml:space="preserve">Fase</w:t>
            </w:r>
          </w:p>
        </w:tc>
        <w:tc>
          <w:tcPr>
            <w:tcW w:type="dxa" w:w="25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i w:val="false"/>
                <w:iCs w:val="false"/>
                <w:color w:val="FFFFFF"/>
                <w:sz w:val="21"/>
                <w:szCs w:val="21"/>
              </w:rPr>
              <w:t xml:space="preserve">Capital activo</w:t>
            </w:r>
          </w:p>
        </w:tc>
        <w:tc>
          <w:tcPr>
            <w:tcW w:type="dxa" w:w="486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i w:val="false"/>
                <w:iCs w:val="false"/>
                <w:color w:val="FFFFFF"/>
                <w:sz w:val="21"/>
                <w:szCs w:val="21"/>
              </w:rPr>
              <w:t xml:space="preserve">Condición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i w:val="false"/>
                <w:iCs w:val="false"/>
                <w:color w:val="1B3A6B"/>
                <w:sz w:val="21"/>
                <w:szCs w:val="21"/>
              </w:rPr>
              <w:t xml:space="preserve">Fase 0–1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$0 (sin trading)</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Infraestructura, datos, features. No hay órdenes.</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bCs/>
                <w:i w:val="false"/>
                <w:iCs w:val="false"/>
                <w:color w:val="1B3A6B"/>
                <w:sz w:val="21"/>
                <w:szCs w:val="21"/>
              </w:rPr>
              <w:t xml:space="preserve">Fase 2–3</w:t>
            </w:r>
          </w:p>
        </w:tc>
        <w:tc>
          <w:tcPr>
            <w:tcW w:type="dxa" w:w="25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$0 (sin trading)</w:t>
            </w:r>
          </w:p>
        </w:tc>
        <w:tc>
          <w:tcPr>
            <w:tcW w:type="dxa" w:w="486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Backtesting y señales. Todo simulado sobre histórico.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i w:val="false"/>
                <w:iCs w:val="false"/>
                <w:color w:val="1B3A6B"/>
                <w:sz w:val="21"/>
                <w:szCs w:val="21"/>
              </w:rPr>
              <w:t xml:space="preserve">Fase 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$1,500 nocionales (paper)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Paper trading con capital simulado equivalente a $1,500. NO es dinero real. Métricas documentadas.</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bCs/>
                <w:i w:val="false"/>
                <w:iCs w:val="false"/>
                <w:color w:val="1B3A6B"/>
                <w:sz w:val="21"/>
                <w:szCs w:val="21"/>
              </w:rPr>
              <w:t xml:space="preserve">Fase 5 inicio</w:t>
            </w:r>
          </w:p>
        </w:tc>
        <w:tc>
          <w:tcPr>
            <w:tcW w:type="dxa" w:w="25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$1,500 reales (live-small)</w:t>
            </w:r>
          </w:p>
        </w:tc>
        <w:tc>
          <w:tcPr>
            <w:tcW w:type="dxa" w:w="486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Capital real. Solo si paper cumplió todas las condiciones de promoción.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i w:val="false"/>
                <w:iCs w:val="false"/>
                <w:color w:val="1B3A6B"/>
                <w:sz w:val="21"/>
                <w:szCs w:val="21"/>
              </w:rPr>
              <w:t xml:space="preserve">Fase 5 escala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Hasta $3,000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Solo si live-small fue positivo 8 semanas seguidas.</w:t>
            </w:r>
          </w:p>
        </w:tc>
      </w:tr>
    </w:tbl>
    <w:p>
      <w:pPr>
        <w:spacing w:after="60" w:before="0"/>
      </w:pPr>
      <w:r>
        <w:rPr>
          <w:rFonts w:ascii="Arial" w:cs="Arial" w:eastAsia="Arial" w:hAnsi="Arial"/>
          <w:b w:val="false"/>
          <w:bCs w:val="false"/>
          <w:i w:val="false"/>
          <w:iCs w:val="false"/>
          <w:color w:val="1A1A1A"/>
          <w:sz w:val="22"/>
          <w:szCs w:val="22"/>
        </w:rPr>
        <w:t xml:space="preserve"> </w:t>
      </w:r>
    </w:p>
    <w:p>
      <w:pPr>
        <w:spacing w:after="0" w:before="0"/>
      </w:pPr>
      <w:r>
        <w:br w:type="page"/>
      </w:r>
    </w:p>
    <w:p>
      <w:pPr>
        <w:pStyle w:val="Heading1"/>
        <w:pBdr>
          <w:bottom w:val="single" w:color="BA7517" w:sz="3"/>
        </w:pBdr>
        <w:shd w:fill="1B3A6B" w:val="clear"/>
        <w:spacing w:after="100" w:before="320"/>
        <w:ind w:left="120" w:right="120"/>
      </w:pPr>
      <w:r>
        <w:rPr>
          <w:rFonts w:ascii="Arial" w:cs="Arial" w:eastAsia="Arial" w:hAnsi="Arial"/>
          <w:b/>
          <w:bCs/>
          <w:i w:val="false"/>
          <w:iCs w:val="false"/>
          <w:color w:val="FFFFFF"/>
          <w:sz w:val="30"/>
          <w:szCs w:val="30"/>
        </w:rPr>
        <w:t xml:space="preserve">3. Universo Operable</w:t>
      </w:r>
    </w:p>
    <w:p>
      <w:pPr>
        <w:spacing w:after="80" w:before="0"/>
      </w:pPr>
      <w:r>
        <w:rPr>
          <w:rFonts w:ascii="Arial" w:cs="Arial" w:eastAsia="Arial" w:hAnsi="Arial"/>
          <w:b w:val="false"/>
          <w:bCs w:val="false"/>
          <w:i w:val="false"/>
          <w:iCs w:val="false"/>
          <w:color w:val="1A1A1A"/>
          <w:sz w:val="22"/>
          <w:szCs w:val="22"/>
        </w:rPr>
        <w:t xml:space="preserve"> </w:t>
      </w:r>
    </w:p>
    <w:p>
      <w:pPr>
        <w:pStyle w:val="Heading3"/>
        <w:pBdr>
          <w:bottom w:val="single" w:color="2E5FA3" w:sz="2"/>
        </w:pBdr>
        <w:spacing w:after="60" w:before="180"/>
      </w:pPr>
      <w:r>
        <w:rPr>
          <w:rFonts w:ascii="Arial" w:cs="Arial" w:eastAsia="Arial" w:hAnsi="Arial"/>
          <w:b/>
          <w:bCs/>
          <w:i w:val="false"/>
          <w:iCs w:val="false"/>
          <w:color w:val="1B3A6B"/>
          <w:sz w:val="22"/>
          <w:szCs w:val="22"/>
        </w:rPr>
        <w:t xml:space="preserve">3.1 Activos autorizados — Fase 0 a Fase 4</w:t>
      </w:r>
    </w:p>
    <w:p>
      <w:pPr>
        <w:spacing w:after="60" w:before="0"/>
      </w:pPr>
      <w:r>
        <w:rPr>
          <w:rFonts w:ascii="Arial" w:cs="Arial" w:eastAsia="Arial" w:hAnsi="Arial"/>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i w:val="false"/>
                <w:iCs w:val="false"/>
                <w:color w:val="FFFFFF"/>
                <w:sz w:val="21"/>
                <w:szCs w:val="21"/>
              </w:rPr>
              <w:t xml:space="preserve">Activo</w:t>
            </w:r>
          </w:p>
        </w:tc>
        <w:tc>
          <w:tcPr>
            <w:tcW w:type="dxa" w:w="32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i w:val="false"/>
                <w:iCs w:val="false"/>
                <w:color w:val="FFFFFF"/>
                <w:sz w:val="21"/>
                <w:szCs w:val="21"/>
              </w:rPr>
              <w:t xml:space="preserve">Mercado</w:t>
            </w:r>
          </w:p>
        </w:tc>
        <w:tc>
          <w:tcPr>
            <w:tcW w:type="dxa" w:w="376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i w:val="false"/>
                <w:iCs w:val="false"/>
                <w:color w:val="FFFFFF"/>
                <w:sz w:val="21"/>
                <w:szCs w:val="21"/>
              </w:rPr>
              <w:t xml:space="preserve">Condición de inclusión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i w:val="false"/>
                <w:iCs w:val="false"/>
                <w:color w:val="1B3A6B"/>
                <w:sz w:val="21"/>
                <w:szCs w:val="21"/>
              </w:rPr>
              <w:t xml:space="preserve">Bitcoin (BTC)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Spot / USDT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Activo principal. Siempre incluido. Mayor liquidez y menor manipulación relativa.</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bCs/>
                <w:i w:val="false"/>
                <w:iCs w:val="false"/>
                <w:color w:val="1B3A6B"/>
                <w:sz w:val="21"/>
                <w:szCs w:val="21"/>
              </w:rPr>
              <w:t xml:space="preserve">Ethereum (ETH)</w:t>
            </w:r>
          </w:p>
        </w:tc>
        <w:tc>
          <w:tcPr>
            <w:tcW w:type="dxa" w:w="32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Spot / USDT</w:t>
            </w:r>
          </w:p>
        </w:tc>
        <w:tc>
          <w:tcPr>
            <w:tcW w:type="dxa" w:w="376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Activo principal. Siempre incluido. Alta liquidez, correlación fuerte con BTC.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i w:val="false"/>
                <w:iCs w:val="false"/>
                <w:color w:val="1B3A6B"/>
                <w:sz w:val="21"/>
                <w:szCs w:val="21"/>
              </w:rPr>
              <w:t xml:space="preserve">Altcoins Top 20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Spot / USDT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Solo activos con capitalización en el top 20 según CoinGecko. Universo revisado el primer lunes de cada mes. Un activo que salga del top 20 no se opera en señales nuevas; las posiciones abiertas se cierran según reglas de salida normales. Excluir si el volumen promedio 7D cae por debajo de $50M.</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bCs/>
                <w:i w:val="false"/>
                <w:iCs w:val="false"/>
                <w:color w:val="1B3A6B"/>
                <w:sz w:val="21"/>
                <w:szCs w:val="21"/>
              </w:rPr>
              <w:t xml:space="preserve">Futuros perpetuos</w:t>
            </w:r>
          </w:p>
        </w:tc>
        <w:tc>
          <w:tcPr>
            <w:tcW w:type="dxa" w:w="32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NO en Fase 0–4</w:t>
            </w:r>
          </w:p>
        </w:tc>
        <w:tc>
          <w:tcPr>
            <w:tcW w:type="dxa" w:w="376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Reservado para Fase 5+. Requiere comprensión profunda de funding rates, liquidaciones y gestión de margin antes de operar.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i w:val="false"/>
                <w:iCs w:val="false"/>
                <w:color w:val="1B3A6B"/>
                <w:sz w:val="21"/>
                <w:szCs w:val="21"/>
              </w:rPr>
              <w:t xml:space="preserve">Acciones / ETFs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NO en Fase 0–4</w:t>
            </w:r>
          </w:p>
        </w:tc>
        <w:tc>
          <w:tcPr>
            <w:tcW w:type="dxa" w:w="3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Reservado para etapas avanzadas. El universo cripto es suficiente para las fases iniciales de validación.</w:t>
            </w:r>
          </w:p>
        </w:tc>
      </w:tr>
    </w:tbl>
    <w:p>
      <w:pPr>
        <w:spacing w:after="60" w:before="0"/>
      </w:pPr>
      <w:r>
        <w:rPr>
          <w:rFonts w:ascii="Arial" w:cs="Arial" w:eastAsia="Arial" w:hAnsi="Arial"/>
          <w:b w:val="false"/>
          <w:bCs w:val="false"/>
          <w:i w:val="false"/>
          <w:iCs w:val="false"/>
          <w:color w:val="1A1A1A"/>
          <w:sz w:val="22"/>
          <w:szCs w:val="22"/>
        </w:rPr>
        <w:t xml:space="preserve"> </w:t>
      </w:r>
    </w:p>
    <w:p>
      <w:pPr>
        <w:pStyle w:val="Heading3"/>
        <w:pBdr>
          <w:bottom w:val="single" w:color="2E5FA3" w:sz="2"/>
        </w:pBdr>
        <w:spacing w:after="60" w:before="180"/>
      </w:pPr>
      <w:r>
        <w:rPr>
          <w:rFonts w:ascii="Arial" w:cs="Arial" w:eastAsia="Arial" w:hAnsi="Arial"/>
          <w:b/>
          <w:bCs/>
          <w:i w:val="false"/>
          <w:iCs w:val="false"/>
          <w:color w:val="1B3A6B"/>
          <w:sz w:val="22"/>
          <w:szCs w:val="22"/>
        </w:rPr>
        <w:t xml:space="preserve">3.2 Criterios de exclusión automática de activo</w:t>
      </w:r>
    </w:p>
    <w:p>
      <w:pPr>
        <w:spacing w:after="40" w:before="0"/>
      </w:pPr>
      <w:r>
        <w:rPr>
          <w:rFonts w:ascii="Arial" w:cs="Arial" w:eastAsia="Arial" w:hAnsi="Arial"/>
          <w:b w:val="false"/>
          <w:bCs w:val="false"/>
          <w:i w:val="false"/>
          <w:iCs w:val="false"/>
          <w:color w:val="1A1A1A"/>
          <w:sz w:val="22"/>
          <w:szCs w:val="22"/>
        </w:rPr>
        <w:t xml:space="preserve"> </w:t>
      </w:r>
    </w:p>
    <w:p>
      <w:pPr>
        <w:pStyle w:val="ListParagraph"/>
        <w:numPr>
          <w:ilvl w:val="0"/>
          <w:numId w:val="2"/>
        </w:numPr>
        <w:spacing w:after="36" w:before="36"/>
      </w:pPr>
      <w:r>
        <w:rPr>
          <w:rFonts w:ascii="Arial" w:cs="Arial" w:eastAsia="Arial" w:hAnsi="Arial"/>
          <w:b w:val="false"/>
          <w:bCs w:val="false"/>
          <w:i w:val="false"/>
          <w:iCs w:val="false"/>
          <w:color w:val="1A1A1A"/>
          <w:sz w:val="21"/>
          <w:szCs w:val="21"/>
        </w:rPr>
        <w:t xml:space="preserve">Volumen promedio 7 días menor a $50M USD</w:t>
      </w:r>
    </w:p>
    <w:p>
      <w:pPr>
        <w:pStyle w:val="ListParagraph"/>
        <w:numPr>
          <w:ilvl w:val="0"/>
          <w:numId w:val="2"/>
        </w:numPr>
        <w:spacing w:after="36" w:before="36"/>
      </w:pPr>
      <w:r>
        <w:rPr>
          <w:rFonts w:ascii="Arial" w:cs="Arial" w:eastAsia="Arial" w:hAnsi="Arial"/>
          <w:b w:val="false"/>
          <w:bCs w:val="false"/>
          <w:i w:val="false"/>
          <w:iCs w:val="false"/>
          <w:color w:val="1A1A1A"/>
          <w:sz w:val="21"/>
          <w:szCs w:val="21"/>
        </w:rPr>
        <w:t xml:space="preserve">Spread bid/ask mayor al 0.5% en condiciones normales de mercado</w:t>
      </w:r>
    </w:p>
    <w:p>
      <w:pPr>
        <w:pStyle w:val="ListParagraph"/>
        <w:numPr>
          <w:ilvl w:val="0"/>
          <w:numId w:val="2"/>
        </w:numPr>
        <w:spacing w:after="36" w:before="36"/>
      </w:pPr>
      <w:r>
        <w:rPr>
          <w:rFonts w:ascii="Arial" w:cs="Arial" w:eastAsia="Arial" w:hAnsi="Arial"/>
          <w:b w:val="false"/>
          <w:bCs w:val="false"/>
          <w:i w:val="false"/>
          <w:iCs w:val="false"/>
          <w:color w:val="1A1A1A"/>
          <w:sz w:val="21"/>
          <w:szCs w:val="21"/>
        </w:rPr>
        <w:t xml:space="preserve">Anuncio oficial verificable de delisting por parte del exchange principal</w:t>
      </w:r>
    </w:p>
    <w:p>
      <w:pPr>
        <w:pStyle w:val="ListParagraph"/>
        <w:numPr>
          <w:ilvl w:val="0"/>
          <w:numId w:val="2"/>
        </w:numPr>
        <w:spacing w:after="36" w:before="36"/>
      </w:pPr>
      <w:r>
        <w:rPr>
          <w:rFonts w:ascii="Arial" w:cs="Arial" w:eastAsia="Arial" w:hAnsi="Arial"/>
          <w:b w:val="false"/>
          <w:bCs w:val="false"/>
          <w:i w:val="false"/>
          <w:iCs w:val="false"/>
          <w:color w:val="1A1A1A"/>
          <w:sz w:val="21"/>
          <w:szCs w:val="21"/>
        </w:rPr>
        <w:t xml:space="preserve">Aviso regulatorio público de suspensión, sanción o investigación por parte de una autoridad financiera reconocida</w:t>
      </w:r>
    </w:p>
    <w:p>
      <w:pPr>
        <w:pStyle w:val="ListParagraph"/>
        <w:numPr>
          <w:ilvl w:val="0"/>
          <w:numId w:val="2"/>
        </w:numPr>
        <w:spacing w:after="36" w:before="36"/>
      </w:pPr>
      <w:r>
        <w:rPr>
          <w:rFonts w:ascii="Arial" w:cs="Arial" w:eastAsia="Arial" w:hAnsi="Arial"/>
          <w:b w:val="false"/>
          <w:bCs w:val="false"/>
          <w:i w:val="false"/>
          <w:iCs w:val="false"/>
          <w:color w:val="1A1A1A"/>
          <w:sz w:val="21"/>
          <w:szCs w:val="21"/>
        </w:rPr>
        <w:t xml:space="preserve">Congelamiento de retiros o suspensión de trading confirmada por el exchange</w:t>
      </w:r>
    </w:p>
    <w:p>
      <w:pPr>
        <w:pStyle w:val="ListParagraph"/>
        <w:numPr>
          <w:ilvl w:val="0"/>
          <w:numId w:val="2"/>
        </w:numPr>
        <w:spacing w:after="36" w:before="36"/>
      </w:pPr>
      <w:r>
        <w:rPr>
          <w:rFonts w:ascii="Arial" w:cs="Arial" w:eastAsia="Arial" w:hAnsi="Arial"/>
          <w:b w:val="false"/>
          <w:bCs w:val="false"/>
          <w:i w:val="false"/>
          <w:iCs w:val="false"/>
          <w:color w:val="1A1A1A"/>
          <w:sz w:val="21"/>
          <w:szCs w:val="21"/>
        </w:rPr>
        <w:t xml:space="preserve">Caída de volumen promedio 7D por debajo de $50M (criterio cuantitativo, no subjetivo)</w:t>
      </w:r>
    </w:p>
    <w:p>
      <w:pPr>
        <w:pStyle w:val="ListParagraph"/>
        <w:numPr>
          <w:ilvl w:val="0"/>
          <w:numId w:val="2"/>
        </w:numPr>
        <w:spacing w:after="36" w:before="36"/>
      </w:pPr>
      <w:r>
        <w:rPr>
          <w:rFonts w:ascii="Arial" w:cs="Arial" w:eastAsia="Arial" w:hAnsi="Arial"/>
          <w:b w:val="false"/>
          <w:bCs w:val="false"/>
          <w:i w:val="false"/>
          <w:iCs w:val="false"/>
          <w:color w:val="1A1A1A"/>
          <w:sz w:val="21"/>
          <w:szCs w:val="21"/>
        </w:rPr>
        <w:t xml:space="preserve">Caída severa de liquidez: spread bid/ask superior al 1% sostenido por más de 24 horas</w:t>
      </w:r>
    </w:p>
    <w:p>
      <w:pPr>
        <w:pStyle w:val="ListParagraph"/>
        <w:numPr>
          <w:ilvl w:val="0"/>
          <w:numId w:val="2"/>
        </w:numPr>
        <w:spacing w:after="36" w:before="36"/>
      </w:pPr>
      <w:r>
        <w:rPr>
          <w:rFonts w:ascii="Arial" w:cs="Arial" w:eastAsia="Arial" w:hAnsi="Arial"/>
          <w:b w:val="false"/>
          <w:bCs w:val="false"/>
          <w:i w:val="false"/>
          <w:iCs w:val="false"/>
          <w:color w:val="1A1A1A"/>
          <w:sz w:val="21"/>
          <w:szCs w:val="21"/>
        </w:rPr>
        <w:t xml:space="preserve">Menos de 12 meses de datos históricos disponibles para backtesting</w:t>
      </w:r>
    </w:p>
    <w:p>
      <w:pPr>
        <w:pStyle w:val="ListParagraph"/>
        <w:numPr>
          <w:ilvl w:val="0"/>
          <w:numId w:val="2"/>
        </w:numPr>
        <w:spacing w:after="36" w:before="36"/>
      </w:pPr>
      <w:r>
        <w:rPr>
          <w:rFonts w:ascii="Arial" w:cs="Arial" w:eastAsia="Arial" w:hAnsi="Arial"/>
          <w:b w:val="false"/>
          <w:bCs w:val="false"/>
          <w:i w:val="false"/>
          <w:iCs w:val="false"/>
          <w:color w:val="1A1A1A"/>
          <w:sz w:val="21"/>
          <w:szCs w:val="21"/>
        </w:rPr>
        <w:t xml:space="preserve">Concentración de más del 40% del supply en menos de 10 wallets (riesgo de manipulación)</w:t>
      </w:r>
    </w:p>
    <w:p>
      <w:pPr>
        <w:spacing w:after="60" w:before="0"/>
      </w:pPr>
      <w:r>
        <w:rPr>
          <w:rFonts w:ascii="Arial" w:cs="Arial" w:eastAsia="Arial" w:hAnsi="Arial"/>
          <w:b w:val="false"/>
          <w:bCs w:val="false"/>
          <w:i w:val="false"/>
          <w:iCs w:val="false"/>
          <w:color w:val="1A1A1A"/>
          <w:sz w:val="22"/>
          <w:szCs w:val="22"/>
        </w:rPr>
        <w:t xml:space="preserve"> </w:t>
      </w:r>
    </w:p>
    <w:p>
      <w:pPr>
        <w:spacing w:after="0" w:before="0"/>
      </w:pPr>
      <w:r>
        <w:br w:type="page"/>
      </w:r>
    </w:p>
    <w:p>
      <w:pPr>
        <w:pStyle w:val="Heading1"/>
        <w:pBdr>
          <w:bottom w:val="single" w:color="BA7517" w:sz="3"/>
        </w:pBdr>
        <w:shd w:fill="1B3A6B" w:val="clear"/>
        <w:spacing w:after="100" w:before="320"/>
        <w:ind w:left="120" w:right="120"/>
      </w:pPr>
      <w:r>
        <w:rPr>
          <w:rFonts w:ascii="Arial" w:cs="Arial" w:eastAsia="Arial" w:hAnsi="Arial"/>
          <w:b/>
          <w:bCs/>
          <w:i w:val="false"/>
          <w:iCs w:val="false"/>
          <w:color w:val="FFFFFF"/>
          <w:sz w:val="30"/>
          <w:szCs w:val="30"/>
        </w:rPr>
        <w:t xml:space="preserve">4. Horizonte de Trading y Tipo de Edge</w:t>
      </w:r>
    </w:p>
    <w:p>
      <w:pPr>
        <w:spacing w:after="80" w:before="0"/>
      </w:pPr>
      <w:r>
        <w:rPr>
          <w:rFonts w:ascii="Arial" w:cs="Arial" w:eastAsia="Arial" w:hAnsi="Arial"/>
          <w:b w:val="false"/>
          <w:bCs w:val="false"/>
          <w:i w:val="false"/>
          <w:iCs w:val="false"/>
          <w:color w:val="1A1A1A"/>
          <w:sz w:val="22"/>
          <w:szCs w:val="22"/>
        </w:rPr>
        <w:t xml:space="preserve"> </w:t>
      </w:r>
    </w:p>
    <w:p>
      <w:pPr>
        <w:pStyle w:val="Heading3"/>
        <w:pBdr>
          <w:bottom w:val="single" w:color="2E5FA3" w:sz="2"/>
        </w:pBdr>
        <w:spacing w:after="60" w:before="180"/>
      </w:pPr>
      <w:r>
        <w:rPr>
          <w:rFonts w:ascii="Arial" w:cs="Arial" w:eastAsia="Arial" w:hAnsi="Arial"/>
          <w:b/>
          <w:bCs/>
          <w:i w:val="false"/>
          <w:iCs w:val="false"/>
          <w:color w:val="1B3A6B"/>
          <w:sz w:val="22"/>
          <w:szCs w:val="22"/>
        </w:rPr>
        <w:t xml:space="preserve">4.1 Horizonte principal</w:t>
      </w:r>
    </w:p>
    <w:p>
      <w:pPr>
        <w:spacing w:after="60" w:before="0"/>
      </w:pPr>
      <w:r>
        <w:rPr>
          <w:rFonts w:ascii="Arial" w:cs="Arial" w:eastAsia="Arial" w:hAnsi="Arial"/>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i w:val="false"/>
                <w:iCs w:val="false"/>
                <w:color w:val="FFFFFF"/>
                <w:sz w:val="21"/>
                <w:szCs w:val="21"/>
              </w:rPr>
              <w:t xml:space="preserve">Parámetro</w:t>
            </w:r>
          </w:p>
        </w:tc>
        <w:tc>
          <w:tcPr>
            <w:tcW w:type="dxa" w:w="636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i w:val="false"/>
                <w:iCs w:val="false"/>
                <w:color w:val="FFFFFF"/>
                <w:sz w:val="21"/>
                <w:szCs w:val="21"/>
              </w:rPr>
              <w:t xml:space="preserve">Definición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i w:val="false"/>
                <w:iCs w:val="false"/>
                <w:color w:val="1B3A6B"/>
                <w:sz w:val="21"/>
                <w:szCs w:val="21"/>
              </w:rPr>
              <w:t xml:space="preserve">Horizonte primario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Swing trading: operaciones con duración de 2 a 10 días</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bCs/>
                <w:i w:val="false"/>
                <w:iCs w:val="false"/>
                <w:color w:val="1B3A6B"/>
                <w:sz w:val="21"/>
                <w:szCs w:val="21"/>
              </w:rPr>
              <w:t xml:space="preserve">Horizonte secundario</w:t>
            </w:r>
          </w:p>
        </w:tc>
        <w:tc>
          <w:tcPr>
            <w:tcW w:type="dxa" w:w="636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Positional: operaciones de 2 a 6 semanas (cuando el régimen lo justifique)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i w:val="false"/>
                <w:iCs w:val="false"/>
                <w:color w:val="1B3A6B"/>
                <w:sz w:val="21"/>
                <w:szCs w:val="21"/>
              </w:rPr>
              <w:t xml:space="preserve">Horizonte excluido (Fase 0–4)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Intradía y scalping — requieren microestructura avanzada, latencia baja y mayor capital para ser rentables con costos reales</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bCs/>
                <w:i w:val="false"/>
                <w:iCs w:val="false"/>
                <w:color w:val="1B3A6B"/>
                <w:sz w:val="21"/>
                <w:szCs w:val="21"/>
              </w:rPr>
              <w:t xml:space="preserve">Frecuencia de señales esperada</w:t>
            </w:r>
          </w:p>
        </w:tc>
        <w:tc>
          <w:tcPr>
            <w:tcW w:type="dxa" w:w="636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1 a 5 señales activas simultáneas. No buscar operaciones por su cantidad sino por su calidad.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i w:val="false"/>
                <w:iCs w:val="false"/>
                <w:color w:val="1B3A6B"/>
                <w:sz w:val="21"/>
                <w:szCs w:val="21"/>
              </w:rPr>
              <w:t xml:space="preserve">Timeframe de análisis técnico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Primario: diario (1D) y 4 horas (4H). Secundario: semanal (1W) para contexto de tendencia mayor.</w:t>
            </w:r>
          </w:p>
        </w:tc>
      </w:tr>
    </w:tbl>
    <w:p>
      <w:pPr>
        <w:spacing w:after="80" w:before="0"/>
      </w:pPr>
      <w:r>
        <w:rPr>
          <w:rFonts w:ascii="Arial" w:cs="Arial" w:eastAsia="Arial" w:hAnsi="Arial"/>
          <w:b w:val="false"/>
          <w:bCs w:val="false"/>
          <w:i w:val="false"/>
          <w:iCs w:val="false"/>
          <w:color w:val="1A1A1A"/>
          <w:sz w:val="22"/>
          <w:szCs w:val="22"/>
        </w:rPr>
        <w:t xml:space="preserve"> </w:t>
      </w:r>
    </w:p>
    <w:p>
      <w:pPr>
        <w:pStyle w:val="Heading3"/>
        <w:pBdr>
          <w:bottom w:val="single" w:color="2E5FA3" w:sz="2"/>
        </w:pBdr>
        <w:spacing w:after="60" w:before="180"/>
      </w:pPr>
      <w:r>
        <w:rPr>
          <w:rFonts w:ascii="Arial" w:cs="Arial" w:eastAsia="Arial" w:hAnsi="Arial"/>
          <w:b/>
          <w:bCs/>
          <w:i w:val="false"/>
          <w:iCs w:val="false"/>
          <w:color w:val="1B3A6B"/>
          <w:sz w:val="22"/>
          <w:szCs w:val="22"/>
        </w:rPr>
        <w:t xml:space="preserve">4.2 Tipos de edge a explorar</w:t>
      </w:r>
    </w:p>
    <w:p>
      <w:pPr>
        <w:spacing w:after="60" w:before="0"/>
      </w:pPr>
      <w:r>
        <w:rPr>
          <w:rFonts w:ascii="Arial" w:cs="Arial" w:eastAsia="Arial" w:hAnsi="Arial"/>
          <w:b w:val="false"/>
          <w:bCs w:val="false"/>
          <w:i w:val="false"/>
          <w:iCs w:val="false"/>
          <w:color w:val="1A1A1A"/>
          <w:sz w:val="22"/>
          <w:szCs w:val="22"/>
        </w:rPr>
        <w:t xml:space="preserve"> </w:t>
      </w:r>
    </w:p>
    <w:p>
      <w:pPr>
        <w:spacing w:after="50" w:before="50"/>
      </w:pPr>
      <w:r>
        <w:rPr>
          <w:rFonts w:ascii="Arial" w:cs="Arial" w:eastAsia="Arial" w:hAnsi="Arial"/>
          <w:b w:val="false"/>
          <w:bCs w:val="false"/>
          <w:i/>
          <w:iCs/>
          <w:color w:val="5F5E5A"/>
          <w:sz w:val="21"/>
          <w:szCs w:val="21"/>
        </w:rPr>
        <w:t xml:space="preserve">Los edges se exploran en orden de complejidad creciente. No se añade un nuevo tipo de edge hasta que el anterior haya sido validado en backtesting robusto.</w:t>
      </w:r>
    </w:p>
    <w:p>
      <w:pPr>
        <w:spacing w:after="60" w:before="0"/>
      </w:pPr>
      <w:r>
        <w:rPr>
          <w:rFonts w:ascii="Arial" w:cs="Arial" w:eastAsia="Arial" w:hAnsi="Arial"/>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200"/>
        <w:gridCol w:w="2560"/>
      </w:tblGrid>
      <w:tr>
        <w:trPr>
          <w:tblHeader/>
        </w:trPr>
        <w:tc>
          <w:tcPr>
            <w:tcW w:type="dxa" w:w="1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00"/>
            </w:tcMar>
          </w:tcPr>
          <w:p>
            <w:r>
              <w:rPr>
                <w:rFonts w:ascii="Arial" w:cs="Arial" w:eastAsia="Arial" w:hAnsi="Arial"/>
                <w:b/>
                <w:bCs/>
                <w:i w:val="false"/>
                <w:iCs w:val="false"/>
                <w:color w:val="FFFFFF"/>
                <w:sz w:val="20"/>
                <w:szCs w:val="20"/>
              </w:rPr>
              <w:t xml:space="preserve">Orden</w:t>
            </w:r>
          </w:p>
        </w:tc>
        <w:tc>
          <w:tcPr>
            <w:tcW w:type="dxa" w:w="2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00"/>
            </w:tcMar>
          </w:tcPr>
          <w:p>
            <w:r>
              <w:rPr>
                <w:rFonts w:ascii="Arial" w:cs="Arial" w:eastAsia="Arial" w:hAnsi="Arial"/>
                <w:b/>
                <w:bCs/>
                <w:i w:val="false"/>
                <w:iCs w:val="false"/>
                <w:color w:val="FFFFFF"/>
                <w:sz w:val="20"/>
                <w:szCs w:val="20"/>
              </w:rPr>
              <w:t xml:space="preserve">Edge</w:t>
            </w:r>
          </w:p>
        </w:tc>
        <w:tc>
          <w:tcPr>
            <w:tcW w:type="dxa" w:w="3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00"/>
            </w:tcMar>
          </w:tcPr>
          <w:p>
            <w:r>
              <w:rPr>
                <w:rFonts w:ascii="Arial" w:cs="Arial" w:eastAsia="Arial" w:hAnsi="Arial"/>
                <w:b/>
                <w:bCs/>
                <w:i w:val="false"/>
                <w:iCs w:val="false"/>
                <w:color w:val="FFFFFF"/>
                <w:sz w:val="20"/>
                <w:szCs w:val="20"/>
              </w:rPr>
              <w:t xml:space="preserve">Hipótesis</w:t>
            </w:r>
          </w:p>
        </w:tc>
        <w:tc>
          <w:tcPr>
            <w:tcW w:type="dxa" w:w="25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00"/>
            </w:tcMar>
          </w:tcPr>
          <w:p>
            <w:r>
              <w:rPr>
                <w:rFonts w:ascii="Arial" w:cs="Arial" w:eastAsia="Arial" w:hAnsi="Arial"/>
                <w:b/>
                <w:bCs/>
                <w:i w:val="false"/>
                <w:iCs w:val="false"/>
                <w:color w:val="FFFFFF"/>
                <w:sz w:val="20"/>
                <w:szCs w:val="20"/>
              </w:rPr>
              <w:t xml:space="preserve">Fase de entrada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20"/>
                <w:szCs w:val="20"/>
              </w:rPr>
              <w:t xml:space="preserve">1º</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bCs/>
                <w:i w:val="false"/>
                <w:iCs w:val="false"/>
                <w:color w:val="1B3A6B"/>
                <w:sz w:val="20"/>
                <w:szCs w:val="20"/>
              </w:rPr>
              <w:t xml:space="preserve">Trend following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20"/>
                <w:szCs w:val="20"/>
              </w:rPr>
              <w:t xml:space="preserve">Los activos cripto muestran tendencias persistentes en timeframes de días a semanas, especialmente en regímenes risk-on.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20"/>
                <w:szCs w:val="20"/>
              </w:rPr>
              <w:t xml:space="preserve">Fase 2</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00"/>
            </w:tcMar>
          </w:tcPr>
          <w:p>
            <w:r>
              <w:rPr>
                <w:rFonts w:ascii="Arial" w:cs="Arial" w:eastAsia="Arial" w:hAnsi="Arial"/>
                <w:b w:val="false"/>
                <w:bCs w:val="false"/>
                <w:i w:val="false"/>
                <w:iCs w:val="false"/>
                <w:color w:val="1A1A1A"/>
                <w:sz w:val="20"/>
                <w:szCs w:val="20"/>
              </w:rPr>
              <w:t xml:space="preserve">2º</w:t>
            </w:r>
          </w:p>
        </w:tc>
        <w:tc>
          <w:tcPr>
            <w:tcW w:type="dxa" w:w="2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00"/>
            </w:tcMar>
          </w:tcPr>
          <w:p>
            <w:r>
              <w:rPr>
                <w:rFonts w:ascii="Arial" w:cs="Arial" w:eastAsia="Arial" w:hAnsi="Arial"/>
                <w:b/>
                <w:bCs/>
                <w:i w:val="false"/>
                <w:iCs w:val="false"/>
                <w:color w:val="1B3A6B"/>
                <w:sz w:val="20"/>
                <w:szCs w:val="20"/>
              </w:rPr>
              <w:t xml:space="preserve">Momentum</w:t>
            </w:r>
          </w:p>
        </w:tc>
        <w:tc>
          <w:tcPr>
            <w:tcW w:type="dxa" w:w="3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00"/>
            </w:tcMar>
          </w:tcPr>
          <w:p>
            <w:r>
              <w:rPr>
                <w:rFonts w:ascii="Arial" w:cs="Arial" w:eastAsia="Arial" w:hAnsi="Arial"/>
                <w:b w:val="false"/>
                <w:bCs w:val="false"/>
                <w:i w:val="false"/>
                <w:iCs w:val="false"/>
                <w:color w:val="1A1A1A"/>
                <w:sz w:val="20"/>
                <w:szCs w:val="20"/>
              </w:rPr>
              <w:t xml:space="preserve">Los activos con mayor momentum relativo en las últimas 2–4 semanas tienden a continuar su rendimiento superior en el corto plazo.</w:t>
            </w:r>
          </w:p>
        </w:tc>
        <w:tc>
          <w:tcPr>
            <w:tcW w:type="dxa" w:w="25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00"/>
            </w:tcMar>
          </w:tcPr>
          <w:p>
            <w:r>
              <w:rPr>
                <w:rFonts w:ascii="Arial" w:cs="Arial" w:eastAsia="Arial" w:hAnsi="Arial"/>
                <w:b w:val="false"/>
                <w:bCs w:val="false"/>
                <w:i w:val="false"/>
                <w:iCs w:val="false"/>
                <w:color w:val="1A1A1A"/>
                <w:sz w:val="20"/>
                <w:szCs w:val="20"/>
              </w:rPr>
              <w:t xml:space="preserve">Fase 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20"/>
                <w:szCs w:val="20"/>
              </w:rPr>
              <w:t xml:space="preserve">3º</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bCs/>
                <w:i w:val="false"/>
                <w:iCs w:val="false"/>
                <w:color w:val="1B3A6B"/>
                <w:sz w:val="20"/>
                <w:szCs w:val="20"/>
              </w:rPr>
              <w:t xml:space="preserve">Breakout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20"/>
                <w:szCs w:val="20"/>
              </w:rPr>
              <w:t xml:space="preserve">Las rupturas de niveles clave de resistencia con expansión de volumen tienen probabilidad positiva de continuación en cripto.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20"/>
                <w:szCs w:val="20"/>
              </w:rPr>
              <w:t xml:space="preserve">Fase 2–3</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00"/>
            </w:tcMar>
          </w:tcPr>
          <w:p>
            <w:r>
              <w:rPr>
                <w:rFonts w:ascii="Arial" w:cs="Arial" w:eastAsia="Arial" w:hAnsi="Arial"/>
                <w:b w:val="false"/>
                <w:bCs w:val="false"/>
                <w:i w:val="false"/>
                <w:iCs w:val="false"/>
                <w:color w:val="1A1A1A"/>
                <w:sz w:val="20"/>
                <w:szCs w:val="20"/>
              </w:rPr>
              <w:t xml:space="preserve">4º</w:t>
            </w:r>
          </w:p>
        </w:tc>
        <w:tc>
          <w:tcPr>
            <w:tcW w:type="dxa" w:w="2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00"/>
            </w:tcMar>
          </w:tcPr>
          <w:p>
            <w:r>
              <w:rPr>
                <w:rFonts w:ascii="Arial" w:cs="Arial" w:eastAsia="Arial" w:hAnsi="Arial"/>
                <w:b/>
                <w:bCs/>
                <w:i w:val="false"/>
                <w:iCs w:val="false"/>
                <w:color w:val="1B3A6B"/>
                <w:sz w:val="20"/>
                <w:szCs w:val="20"/>
              </w:rPr>
              <w:t xml:space="preserve">Mean reversion</w:t>
            </w:r>
          </w:p>
        </w:tc>
        <w:tc>
          <w:tcPr>
            <w:tcW w:type="dxa" w:w="3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00"/>
            </w:tcMar>
          </w:tcPr>
          <w:p>
            <w:r>
              <w:rPr>
                <w:rFonts w:ascii="Arial" w:cs="Arial" w:eastAsia="Arial" w:hAnsi="Arial"/>
                <w:b w:val="false"/>
                <w:bCs w:val="false"/>
                <w:i w:val="false"/>
                <w:iCs w:val="false"/>
                <w:color w:val="1A1A1A"/>
                <w:sz w:val="20"/>
                <w:szCs w:val="20"/>
              </w:rPr>
              <w:t xml:space="preserve">En condiciones de baja volatilidad y mercado lateral, los activos revierten a su media con mayor frecuencia.</w:t>
            </w:r>
          </w:p>
        </w:tc>
        <w:tc>
          <w:tcPr>
            <w:tcW w:type="dxa" w:w="25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00"/>
            </w:tcMar>
          </w:tcPr>
          <w:p>
            <w:r>
              <w:rPr>
                <w:rFonts w:ascii="Arial" w:cs="Arial" w:eastAsia="Arial" w:hAnsi="Arial"/>
                <w:b w:val="false"/>
                <w:bCs w:val="false"/>
                <w:i w:val="false"/>
                <w:iCs w:val="false"/>
                <w:color w:val="1A1A1A"/>
                <w:sz w:val="20"/>
                <w:szCs w:val="20"/>
              </w:rPr>
              <w:t xml:space="preserve">Fase 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20"/>
                <w:szCs w:val="20"/>
              </w:rPr>
              <w:t xml:space="preserve">5º</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bCs/>
                <w:i w:val="false"/>
                <w:iCs w:val="false"/>
                <w:color w:val="1B3A6B"/>
                <w:sz w:val="20"/>
                <w:szCs w:val="20"/>
              </w:rPr>
              <w:t xml:space="preserve">Event-driven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20"/>
                <w:szCs w:val="20"/>
              </w:rPr>
              <w:t xml:space="preserve">Los eventos macro (FOMC, CPI, ETF decisions) producen movimientos predecibles en dirección y magnitud que pueden anticiparse.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20"/>
                <w:szCs w:val="20"/>
              </w:rPr>
              <w:t xml:space="preserve">Fase 3</w:t>
            </w:r>
          </w:p>
        </w:tc>
      </w:tr>
    </w:tbl>
    <w:p>
      <w:pPr>
        <w:pBdr>
          <w:left w:val="single" w:color="BA7517" w:sz="8"/>
        </w:pBdr>
        <w:shd w:fill="FFF3CD" w:val="clear"/>
        <w:spacing w:after="60" w:before="60"/>
        <w:ind w:left="200"/>
      </w:pPr>
      <w:r>
        <w:rPr>
          <w:rFonts w:ascii="Arial" w:cs="Arial" w:eastAsia="Arial" w:hAnsi="Arial"/>
          <w:b/>
          <w:bCs/>
          <w:i w:val="false"/>
          <w:iCs w:val="false"/>
          <w:color w:val="BA7517"/>
          <w:sz w:val="20"/>
          <w:szCs w:val="20"/>
        </w:rPr>
        <w:t xml:space="preserve">NOTA: </w:t>
      </w:r>
      <w:r>
        <w:rPr>
          <w:rFonts w:ascii="Arial" w:cs="Arial" w:eastAsia="Arial" w:hAnsi="Arial"/>
          <w:b w:val="false"/>
          <w:bCs w:val="false"/>
          <w:i/>
          <w:iCs/>
          <w:color w:val="BA7517"/>
          <w:sz w:val="20"/>
          <w:szCs w:val="20"/>
        </w:rPr>
        <w:t xml:space="preserve">Cada edge debe tener su hipótesis económica documentada por escrito antes de entrar a backtesting. Una hipótesis sin fundamento no es un edge, es una coincidencia histórica.</w:t>
      </w:r>
    </w:p>
    <w:p>
      <w:pPr>
        <w:spacing w:after="60" w:before="0"/>
      </w:pPr>
      <w:r>
        <w:rPr>
          <w:rFonts w:ascii="Arial" w:cs="Arial" w:eastAsia="Arial" w:hAnsi="Arial"/>
          <w:b w:val="false"/>
          <w:bCs w:val="false"/>
          <w:i w:val="false"/>
          <w:iCs w:val="false"/>
          <w:color w:val="1A1A1A"/>
          <w:sz w:val="22"/>
          <w:szCs w:val="22"/>
        </w:rPr>
        <w:t xml:space="preserve"> </w:t>
      </w:r>
    </w:p>
    <w:p>
      <w:pPr>
        <w:spacing w:after="0" w:before="0"/>
      </w:pPr>
      <w:r>
        <w:br w:type="page"/>
      </w:r>
    </w:p>
    <w:p>
      <w:pPr>
        <w:pStyle w:val="Heading1"/>
        <w:pBdr>
          <w:bottom w:val="single" w:color="BA7517" w:sz="3"/>
        </w:pBdr>
        <w:shd w:fill="1B3A6B" w:val="clear"/>
        <w:spacing w:after="100" w:before="320"/>
        <w:ind w:left="120" w:right="120"/>
      </w:pPr>
      <w:r>
        <w:rPr>
          <w:rFonts w:ascii="Arial" w:cs="Arial" w:eastAsia="Arial" w:hAnsi="Arial"/>
          <w:b/>
          <w:bCs/>
          <w:i w:val="false"/>
          <w:iCs w:val="false"/>
          <w:color w:val="FFFFFF"/>
          <w:sz w:val="30"/>
          <w:szCs w:val="30"/>
        </w:rPr>
        <w:t xml:space="preserve">5. Límites Operativos — Risk Engine</w:t>
      </w:r>
    </w:p>
    <w:p>
      <w:pPr>
        <w:spacing w:after="60" w:before="0"/>
      </w:pPr>
      <w:r>
        <w:rPr>
          <w:rFonts w:ascii="Arial" w:cs="Arial" w:eastAsia="Arial" w:hAnsi="Arial"/>
          <w:b w:val="false"/>
          <w:bCs w:val="false"/>
          <w:i w:val="false"/>
          <w:iCs w:val="false"/>
          <w:color w:val="1A1A1A"/>
          <w:sz w:val="22"/>
          <w:szCs w:val="22"/>
        </w:rPr>
        <w:t xml:space="preserve"> </w:t>
      </w:r>
    </w:p>
    <w:p>
      <w:pPr>
        <w:spacing w:after="50" w:before="50"/>
      </w:pPr>
      <w:r>
        <w:rPr>
          <w:rFonts w:ascii="Arial" w:cs="Arial" w:eastAsia="Arial" w:hAnsi="Arial"/>
          <w:b w:val="false"/>
          <w:bCs w:val="false"/>
          <w:i/>
          <w:iCs/>
          <w:color w:val="5F5E5A"/>
          <w:sz w:val="21"/>
          <w:szCs w:val="21"/>
        </w:rPr>
        <w:t xml:space="preserve">Estos límites son inapelables. El Risk Engine los aplica automáticamente. Ninguna señal, modelo o agente puede superarlos. Si un límite debe cambiar, requiere revisión formal del Investment Memo — no un ajuste silencioso.</w:t>
      </w:r>
    </w:p>
    <w:p>
      <w:pPr>
        <w:spacing w:after="80" w:before="0"/>
      </w:pPr>
      <w:r>
        <w:rPr>
          <w:rFonts w:ascii="Arial" w:cs="Arial" w:eastAsia="Arial" w:hAnsi="Arial"/>
          <w:b w:val="false"/>
          <w:bCs w:val="false"/>
          <w:i w:val="false"/>
          <w:iCs w:val="false"/>
          <w:color w:val="1A1A1A"/>
          <w:sz w:val="22"/>
          <w:szCs w:val="22"/>
        </w:rPr>
        <w:t xml:space="preserve"> </w:t>
      </w:r>
    </w:p>
    <w:p>
      <w:pPr>
        <w:pStyle w:val="Heading3"/>
        <w:pBdr>
          <w:bottom w:val="single" w:color="2E5FA3" w:sz="2"/>
        </w:pBdr>
        <w:spacing w:after="60" w:before="180"/>
      </w:pPr>
      <w:r>
        <w:rPr>
          <w:rFonts w:ascii="Arial" w:cs="Arial" w:eastAsia="Arial" w:hAnsi="Arial"/>
          <w:b/>
          <w:bCs/>
          <w:i w:val="false"/>
          <w:iCs w:val="false"/>
          <w:color w:val="1B3A6B"/>
          <w:sz w:val="22"/>
          <w:szCs w:val="22"/>
        </w:rPr>
        <w:t xml:space="preserve">5.1 Límites de pérdida</w:t>
      </w:r>
    </w:p>
    <w:p>
      <w:pPr>
        <w:spacing w:after="60" w:before="0"/>
      </w:pPr>
      <w:r>
        <w:rPr>
          <w:rFonts w:ascii="Arial" w:cs="Arial" w:eastAsia="Arial" w:hAnsi="Arial"/>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i w:val="false"/>
                <w:iCs w:val="false"/>
                <w:color w:val="FFFFFF"/>
                <w:sz w:val="21"/>
                <w:szCs w:val="21"/>
              </w:rPr>
              <w:t xml:space="preserve">Límite</w:t>
            </w:r>
          </w:p>
        </w:tc>
        <w:tc>
          <w:tcPr>
            <w:tcW w:type="dxa" w:w="30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i w:val="false"/>
                <w:iCs w:val="false"/>
                <w:color w:val="FFFFFF"/>
                <w:sz w:val="21"/>
                <w:szCs w:val="21"/>
              </w:rPr>
              <w:t xml:space="preserve">Umbral</w:t>
            </w:r>
          </w:p>
        </w:tc>
        <w:tc>
          <w:tcPr>
            <w:tcW w:type="dxa" w:w="336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i w:val="false"/>
                <w:iCs w:val="false"/>
                <w:color w:val="FFFFFF"/>
                <w:sz w:val="21"/>
                <w:szCs w:val="21"/>
              </w:rPr>
              <w:t xml:space="preserve">Acción automática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i w:val="false"/>
                <w:iCs w:val="false"/>
                <w:color w:val="A32D2D"/>
                <w:sz w:val="21"/>
                <w:szCs w:val="21"/>
              </w:rPr>
              <w:t xml:space="preserve">Pérdida máxima por trade (live-small)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1% del capital real ($15 sobre $1,500). Revisable a 1.5% tras 8 semanas positivas documentadas.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Stop loss automático. La posición se cierra sin excepción.</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bCs/>
                <w:i w:val="false"/>
                <w:iCs w:val="false"/>
                <w:color w:val="A32D2D"/>
                <w:sz w:val="21"/>
                <w:szCs w:val="21"/>
              </w:rPr>
              <w:t xml:space="preserve">Pérdida máxima por trade (live-scaled)</w:t>
            </w:r>
          </w:p>
        </w:tc>
        <w:tc>
          <w:tcPr>
            <w:tcW w:type="dxa" w:w="30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1.5% del capital asignado, con revisión a 2% solo si las métricas de los 3 meses previos lo justifican.</w:t>
            </w:r>
          </w:p>
        </w:tc>
        <w:tc>
          <w:tcPr>
            <w:tcW w:type="dxa" w:w="336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Stop loss automático. Nunca superar este umbral por ningún motivo.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i w:val="false"/>
                <w:iCs w:val="false"/>
                <w:color w:val="A32D2D"/>
                <w:sz w:val="21"/>
                <w:szCs w:val="21"/>
              </w:rPr>
              <w:t xml:space="preserve">Pérdida máxima diaria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4% del capital asignado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Cierre de todas las posiciones abiertas. Sin nuevas entradas ese día.</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bCs/>
                <w:i w:val="false"/>
                <w:iCs w:val="false"/>
                <w:color w:val="A32D2D"/>
                <w:sz w:val="21"/>
                <w:szCs w:val="21"/>
              </w:rPr>
              <w:t xml:space="preserve">Pérdida máxima semanal</w:t>
            </w:r>
          </w:p>
        </w:tc>
        <w:tc>
          <w:tcPr>
            <w:tcW w:type="dxa" w:w="30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8% del capital asignado</w:t>
            </w:r>
          </w:p>
        </w:tc>
        <w:tc>
          <w:tcPr>
            <w:tcW w:type="dxa" w:w="336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Pausa del sistema. Revisión de señales y estrategias activas.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i w:val="false"/>
                <w:iCs w:val="false"/>
                <w:color w:val="A32D2D"/>
                <w:sz w:val="21"/>
                <w:szCs w:val="21"/>
              </w:rPr>
              <w:t xml:space="preserve">Pérdida máxima mensual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12% del capital asignado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Stop total del sistema. Revisión de mandato antes de reactivar.</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bCs/>
                <w:i w:val="false"/>
                <w:iCs w:val="false"/>
                <w:color w:val="A32D2D"/>
                <w:sz w:val="21"/>
                <w:szCs w:val="21"/>
              </w:rPr>
              <w:t xml:space="preserve">Drawdown máximo del sistema</w:t>
            </w:r>
          </w:p>
        </w:tc>
        <w:tc>
          <w:tcPr>
            <w:tcW w:type="dxa" w:w="30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20% del capital asignado ($300)</w:t>
            </w:r>
          </w:p>
        </w:tc>
        <w:tc>
          <w:tcPr>
            <w:tcW w:type="dxa" w:w="336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Kill-switch completo. Revisión formal del blueprint antes de continuar.</w:t>
            </w:r>
          </w:p>
        </w:tc>
      </w:tr>
    </w:tbl>
    <w:p>
      <w:pPr>
        <w:spacing w:after="80" w:before="0"/>
      </w:pPr>
      <w:r>
        <w:rPr>
          <w:rFonts w:ascii="Arial" w:cs="Arial" w:eastAsia="Arial" w:hAnsi="Arial"/>
          <w:b w:val="false"/>
          <w:bCs w:val="false"/>
          <w:i w:val="false"/>
          <w:iCs w:val="false"/>
          <w:color w:val="1A1A1A"/>
          <w:sz w:val="22"/>
          <w:szCs w:val="22"/>
        </w:rPr>
        <w:t xml:space="preserve"> </w:t>
      </w:r>
    </w:p>
    <w:p>
      <w:pPr>
        <w:pStyle w:val="Heading3"/>
        <w:pBdr>
          <w:bottom w:val="single" w:color="2E5FA3" w:sz="2"/>
        </w:pBdr>
        <w:spacing w:after="60" w:before="180"/>
      </w:pPr>
      <w:r>
        <w:rPr>
          <w:rFonts w:ascii="Arial" w:cs="Arial" w:eastAsia="Arial" w:hAnsi="Arial"/>
          <w:b/>
          <w:bCs/>
          <w:i w:val="false"/>
          <w:iCs w:val="false"/>
          <w:color w:val="1B3A6B"/>
          <w:sz w:val="22"/>
          <w:szCs w:val="22"/>
        </w:rPr>
        <w:t xml:space="preserve">5.2 Límites de exposición y posicionamiento</w:t>
      </w:r>
    </w:p>
    <w:p>
      <w:pPr>
        <w:spacing w:after="60" w:before="0"/>
      </w:pPr>
      <w:r>
        <w:rPr>
          <w:rFonts w:ascii="Arial" w:cs="Arial" w:eastAsia="Arial" w:hAnsi="Arial"/>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i w:val="false"/>
                <w:iCs w:val="false"/>
                <w:color w:val="FFFFFF"/>
                <w:sz w:val="21"/>
                <w:szCs w:val="21"/>
              </w:rPr>
              <w:t xml:space="preserve">Límite</w:t>
            </w:r>
          </w:p>
        </w:tc>
        <w:tc>
          <w:tcPr>
            <w:tcW w:type="dxa" w:w="636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i w:val="false"/>
                <w:iCs w:val="false"/>
                <w:color w:val="FFFFFF"/>
                <w:sz w:val="21"/>
                <w:szCs w:val="21"/>
              </w:rPr>
              <w:t xml:space="preserve">Valor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i w:val="false"/>
                <w:iCs w:val="false"/>
                <w:color w:val="1B3A6B"/>
                <w:sz w:val="21"/>
                <w:szCs w:val="21"/>
              </w:rPr>
              <w:t xml:space="preserve">Exposición máxima por activo individual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20% del capital asignado ($300 por activo)</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bCs/>
                <w:i w:val="false"/>
                <w:iCs w:val="false"/>
                <w:color w:val="1B3A6B"/>
                <w:sz w:val="21"/>
                <w:szCs w:val="21"/>
              </w:rPr>
              <w:t xml:space="preserve">Exposición máxima total simultánea</w:t>
            </w:r>
          </w:p>
        </w:tc>
        <w:tc>
          <w:tcPr>
            <w:tcW w:type="dxa" w:w="636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60% del capital asignado ($900) — el 40% restante en cash siempre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i w:val="false"/>
                <w:iCs w:val="false"/>
                <w:color w:val="1B3A6B"/>
                <w:sz w:val="21"/>
                <w:szCs w:val="21"/>
              </w:rPr>
              <w:t xml:space="preserve">Posiciones abiertas simultáneas máx.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5 posiciones. No abrir la 6ª sin cerrar una existente.</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bCs/>
                <w:i w:val="false"/>
                <w:iCs w:val="false"/>
                <w:color w:val="1B3A6B"/>
                <w:sz w:val="21"/>
                <w:szCs w:val="21"/>
              </w:rPr>
              <w:t xml:space="preserve">Leverage máximo</w:t>
            </w:r>
          </w:p>
        </w:tc>
        <w:tc>
          <w:tcPr>
            <w:tcW w:type="dxa" w:w="636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1x — sin leverage hasta Fase 5 y validación completada. Sin excepciones.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i w:val="false"/>
                <w:iCs w:val="false"/>
                <w:color w:val="1B3A6B"/>
                <w:sz w:val="21"/>
                <w:szCs w:val="21"/>
              </w:rPr>
              <w:t xml:space="preserve">Concentración máxima BTC+ETH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Hasta 40% del capital asignado entre ambos juntos</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bCs/>
                <w:i w:val="false"/>
                <w:iCs w:val="false"/>
                <w:color w:val="1B3A6B"/>
                <w:sz w:val="21"/>
                <w:szCs w:val="21"/>
              </w:rPr>
              <w:t xml:space="preserve">Concentración máxima altcoins</w:t>
            </w:r>
          </w:p>
        </w:tc>
        <w:tc>
          <w:tcPr>
            <w:tcW w:type="dxa" w:w="636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Máximo 15% del capital asignado por altcoin individual</w:t>
            </w:r>
          </w:p>
        </w:tc>
      </w:tr>
    </w:tbl>
    <w:p>
      <w:pPr>
        <w:spacing w:after="80" w:before="0"/>
      </w:pPr>
      <w:r>
        <w:rPr>
          <w:rFonts w:ascii="Arial" w:cs="Arial" w:eastAsia="Arial" w:hAnsi="Arial"/>
          <w:b w:val="false"/>
          <w:bCs w:val="false"/>
          <w:i w:val="false"/>
          <w:iCs w:val="false"/>
          <w:color w:val="1A1A1A"/>
          <w:sz w:val="22"/>
          <w:szCs w:val="22"/>
        </w:rPr>
        <w:t xml:space="preserve"> </w:t>
      </w:r>
    </w:p>
    <w:p>
      <w:pPr>
        <w:pStyle w:val="Heading3"/>
        <w:pBdr>
          <w:bottom w:val="single" w:color="2E5FA3" w:sz="2"/>
        </w:pBdr>
        <w:spacing w:after="60" w:before="180"/>
      </w:pPr>
      <w:r>
        <w:rPr>
          <w:rFonts w:ascii="Arial" w:cs="Arial" w:eastAsia="Arial" w:hAnsi="Arial"/>
          <w:b/>
          <w:bCs/>
          <w:i w:val="false"/>
          <w:iCs w:val="false"/>
          <w:color w:val="1B3A6B"/>
          <w:sz w:val="22"/>
          <w:szCs w:val="22"/>
        </w:rPr>
        <w:t xml:space="preserve">5.3 Límites de operación</w:t>
      </w:r>
    </w:p>
    <w:p>
      <w:pPr>
        <w:spacing w:after="60" w:before="0"/>
      </w:pPr>
      <w:r>
        <w:rPr>
          <w:rFonts w:ascii="Arial" w:cs="Arial" w:eastAsia="Arial" w:hAnsi="Arial"/>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i w:val="false"/>
                <w:iCs w:val="false"/>
                <w:color w:val="FFFFFF"/>
                <w:sz w:val="21"/>
                <w:szCs w:val="21"/>
              </w:rPr>
              <w:t xml:space="preserve">Regla</w:t>
            </w:r>
          </w:p>
        </w:tc>
        <w:tc>
          <w:tcPr>
            <w:tcW w:type="dxa" w:w="636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i w:val="false"/>
                <w:iCs w:val="false"/>
                <w:color w:val="FFFFFF"/>
                <w:sz w:val="21"/>
                <w:szCs w:val="21"/>
              </w:rPr>
              <w:t xml:space="preserve">Definición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i w:val="false"/>
                <w:iCs w:val="false"/>
                <w:color w:val="1B3A6B"/>
                <w:sz w:val="21"/>
                <w:szCs w:val="21"/>
              </w:rPr>
              <w:t xml:space="preserve">Evento blackout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No abrir posiciones nuevas en los 30 minutos anteriores ni los 30 minutos posteriores a publicaciones macro clave (FOMC, CPI, NFP)</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bCs/>
                <w:i w:val="false"/>
                <w:iCs w:val="false"/>
                <w:color w:val="1B3A6B"/>
                <w:sz w:val="21"/>
                <w:szCs w:val="21"/>
              </w:rPr>
              <w:t xml:space="preserve">Slippage máximo tolerable</w:t>
            </w:r>
          </w:p>
        </w:tc>
        <w:tc>
          <w:tcPr>
            <w:tcW w:type="dxa" w:w="636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0.3% sobre el precio de señal. Si el fill ocurre con mayor slippage, la operación se registra como anomalía y se analiza.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i w:val="false"/>
                <w:iCs w:val="false"/>
                <w:color w:val="1B3A6B"/>
                <w:sz w:val="21"/>
                <w:szCs w:val="21"/>
              </w:rPr>
              <w:t xml:space="preserve">Tipo de órdenes permitidas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Limit orders como prioridad. Market orders solo en cierre de emergencia.</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bCs/>
                <w:i w:val="false"/>
                <w:iCs w:val="false"/>
                <w:color w:val="1B3A6B"/>
                <w:sz w:val="21"/>
                <w:szCs w:val="21"/>
              </w:rPr>
              <w:t xml:space="preserve">Exchange principal</w:t>
            </w:r>
          </w:p>
        </w:tc>
        <w:tc>
          <w:tcPr>
            <w:tcW w:type="dxa" w:w="636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Binance (mayor liquidez, menores spreads en BTC/ETH y altcoins top 20)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i w:val="false"/>
                <w:iCs w:val="false"/>
                <w:color w:val="1B3A6B"/>
                <w:sz w:val="21"/>
                <w:szCs w:val="21"/>
              </w:rPr>
              <w:t xml:space="preserve">Exchange secundario / backup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Coinbase o Kraken — solo si Binance presenta problemas operativos</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bCs/>
                <w:i w:val="false"/>
                <w:iCs w:val="false"/>
                <w:color w:val="1B3A6B"/>
                <w:sz w:val="21"/>
                <w:szCs w:val="21"/>
              </w:rPr>
              <w:t xml:space="preserve">Modo paper trading</w:t>
            </w:r>
          </w:p>
        </w:tc>
        <w:tc>
          <w:tcPr>
            <w:tcW w:type="dxa" w:w="636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Activo en entorno aislado durante todo el período de Fase 4. Separado del live.</w:t>
            </w:r>
          </w:p>
        </w:tc>
      </w:tr>
    </w:tbl>
    <w:p>
      <w:pPr>
        <w:spacing w:after="60" w:before="0"/>
      </w:pPr>
      <w:r>
        <w:rPr>
          <w:rFonts w:ascii="Arial" w:cs="Arial" w:eastAsia="Arial" w:hAnsi="Arial"/>
          <w:b w:val="false"/>
          <w:bCs w:val="false"/>
          <w:i w:val="false"/>
          <w:iCs w:val="false"/>
          <w:color w:val="1A1A1A"/>
          <w:sz w:val="22"/>
          <w:szCs w:val="22"/>
        </w:rPr>
        <w:t xml:space="preserve"> </w:t>
      </w:r>
    </w:p>
    <w:p>
      <w:pPr>
        <w:spacing w:after="0" w:before="0"/>
      </w:pPr>
      <w:r>
        <w:br w:type="page"/>
      </w:r>
    </w:p>
    <w:p>
      <w:pPr>
        <w:pStyle w:val="Heading1"/>
        <w:pBdr>
          <w:bottom w:val="single" w:color="BA7517" w:sz="3"/>
        </w:pBdr>
        <w:shd w:fill="1B3A6B" w:val="clear"/>
        <w:spacing w:after="100" w:before="320"/>
        <w:ind w:left="120" w:right="120"/>
      </w:pPr>
      <w:r>
        <w:rPr>
          <w:rFonts w:ascii="Arial" w:cs="Arial" w:eastAsia="Arial" w:hAnsi="Arial"/>
          <w:b/>
          <w:bCs/>
          <w:i w:val="false"/>
          <w:iCs w:val="false"/>
          <w:color w:val="FFFFFF"/>
          <w:sz w:val="30"/>
          <w:szCs w:val="30"/>
        </w:rPr>
        <w:t xml:space="preserve">6. Objetivos de Rendimiento</w:t>
      </w:r>
    </w:p>
    <w:p>
      <w:pPr>
        <w:spacing w:after="60" w:before="0"/>
      </w:pPr>
      <w:r>
        <w:rPr>
          <w:rFonts w:ascii="Arial" w:cs="Arial" w:eastAsia="Arial" w:hAnsi="Arial"/>
          <w:b w:val="false"/>
          <w:bCs w:val="false"/>
          <w:i w:val="false"/>
          <w:iCs w:val="false"/>
          <w:color w:val="1A1A1A"/>
          <w:sz w:val="22"/>
          <w:szCs w:val="22"/>
        </w:rPr>
        <w:t xml:space="preserve"> </w:t>
      </w:r>
    </w:p>
    <w:p>
      <w:pPr>
        <w:spacing w:after="50" w:before="50"/>
      </w:pPr>
      <w:r>
        <w:rPr>
          <w:rFonts w:ascii="Arial" w:cs="Arial" w:eastAsia="Arial" w:hAnsi="Arial"/>
          <w:b w:val="false"/>
          <w:bCs w:val="false"/>
          <w:i/>
          <w:iCs/>
          <w:color w:val="5F5E5A"/>
          <w:sz w:val="21"/>
          <w:szCs w:val="21"/>
        </w:rPr>
        <w:t xml:space="preserve">Estos objetivos son referencias de evaluación, no compromisos de rentabilidad. El sistema no garantiza resultados. El mercado puede invalidar cualquier edge.</w:t>
      </w:r>
    </w:p>
    <w:p>
      <w:pPr>
        <w:spacing w:after="80" w:before="0"/>
      </w:pPr>
      <w:r>
        <w:rPr>
          <w:rFonts w:ascii="Arial" w:cs="Arial" w:eastAsia="Arial" w:hAnsi="Arial"/>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i w:val="false"/>
                <w:iCs w:val="false"/>
                <w:color w:val="FFFFFF"/>
                <w:sz w:val="21"/>
                <w:szCs w:val="21"/>
              </w:rPr>
              <w:t xml:space="preserve">Métrica</w:t>
            </w:r>
          </w:p>
        </w:tc>
        <w:tc>
          <w:tcPr>
            <w:tcW w:type="dxa" w:w="24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i w:val="false"/>
                <w:iCs w:val="false"/>
                <w:color w:val="FFFFFF"/>
                <w:sz w:val="21"/>
                <w:szCs w:val="21"/>
              </w:rPr>
              <w:t xml:space="preserve">Objetivo mínimo</w:t>
            </w:r>
          </w:p>
        </w:tc>
        <w:tc>
          <w:tcPr>
            <w:tcW w:type="dxa" w:w="456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i w:val="false"/>
                <w:iCs w:val="false"/>
                <w:color w:val="FFFFFF"/>
                <w:sz w:val="21"/>
                <w:szCs w:val="21"/>
              </w:rPr>
              <w:t xml:space="preserve">Nota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i w:val="false"/>
                <w:iCs w:val="false"/>
                <w:color w:val="1B3A6B"/>
                <w:sz w:val="21"/>
                <w:szCs w:val="21"/>
              </w:rPr>
              <w:t xml:space="preserve">Retorno anual objetivo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30–50% sobre capital asignado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Moderado. Prioridad es la consistencia, no el máximo retorno.</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bCs/>
                <w:i w:val="false"/>
                <w:iCs w:val="false"/>
                <w:color w:val="1B3A6B"/>
                <w:sz w:val="21"/>
                <w:szCs w:val="21"/>
              </w:rPr>
              <w:t xml:space="preserve">Sharpe Ratio mínimo</w:t>
            </w:r>
          </w:p>
        </w:tc>
        <w:tc>
          <w:tcPr>
            <w:tcW w:type="dxa" w:w="24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&gt; 1.0 en backtesting</w:t>
            </w:r>
          </w:p>
        </w:tc>
        <w:tc>
          <w:tcPr>
            <w:tcW w:type="dxa" w:w="456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&lt; 1.0 en out-of-sample = estrategia no pasa a paper.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i w:val="false"/>
                <w:iCs w:val="false"/>
                <w:color w:val="1B3A6B"/>
                <w:sz w:val="21"/>
                <w:szCs w:val="21"/>
              </w:rPr>
              <w:t xml:space="preserve">Sharpe Ratio objetivo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&gt; 1.5 en paper y live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Referencia de calidad institucional para el horizonte swing.</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bCs/>
                <w:i w:val="false"/>
                <w:iCs w:val="false"/>
                <w:color w:val="1B3A6B"/>
                <w:sz w:val="21"/>
                <w:szCs w:val="21"/>
              </w:rPr>
              <w:t xml:space="preserve">Maximum Drawdown tolerable</w:t>
            </w:r>
          </w:p>
        </w:tc>
        <w:tc>
          <w:tcPr>
            <w:tcW w:type="dxa" w:w="24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&lt; 20% del capital asignado</w:t>
            </w:r>
          </w:p>
        </w:tc>
        <w:tc>
          <w:tcPr>
            <w:tcW w:type="dxa" w:w="456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Coincide con el kill-switch. Nunca debe alcanzarse en live normal.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i w:val="false"/>
                <w:iCs w:val="false"/>
                <w:color w:val="1B3A6B"/>
                <w:sz w:val="21"/>
                <w:szCs w:val="21"/>
              </w:rPr>
              <w:t xml:space="preserve">Win rate mínimo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&gt; 45%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No es la única métrica. El ratio ganancia/pérdida importa más.</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bCs/>
                <w:i w:val="false"/>
                <w:iCs w:val="false"/>
                <w:color w:val="1B3A6B"/>
                <w:sz w:val="21"/>
                <w:szCs w:val="21"/>
              </w:rPr>
              <w:t xml:space="preserve">Ratio ganancia / pérdida</w:t>
            </w:r>
          </w:p>
        </w:tc>
        <w:tc>
          <w:tcPr>
            <w:tcW w:type="dxa" w:w="24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&gt; 1.5:1</w:t>
            </w:r>
          </w:p>
        </w:tc>
        <w:tc>
          <w:tcPr>
            <w:tcW w:type="dxa" w:w="456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Una operación ganadora debe ganar al menos 1.5x lo que pierde una perdedora.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i w:val="false"/>
                <w:iCs w:val="false"/>
                <w:color w:val="1B3A6B"/>
                <w:sz w:val="21"/>
                <w:szCs w:val="21"/>
              </w:rPr>
              <w:t xml:space="preserve">Expectancy por trade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Positivo en out-of-sample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Si la expectancy es negativa, la estrategia no existe sin importar el win rate.</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bCs/>
                <w:i w:val="false"/>
                <w:iCs w:val="false"/>
                <w:color w:val="1B3A6B"/>
                <w:sz w:val="21"/>
                <w:szCs w:val="21"/>
              </w:rPr>
              <w:t xml:space="preserve">Exposure time máximo</w:t>
            </w:r>
          </w:p>
        </w:tc>
        <w:tc>
          <w:tcPr>
            <w:tcW w:type="dxa" w:w="24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&lt; 60% del tiempo en posición</w:t>
            </w:r>
          </w:p>
        </w:tc>
        <w:tc>
          <w:tcPr>
            <w:tcW w:type="dxa" w:w="456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Implícito en el límite de 60% de capital simultáneo.</w:t>
            </w:r>
          </w:p>
        </w:tc>
      </w:tr>
    </w:tbl>
    <w:p>
      <w:pPr>
        <w:pBdr>
          <w:left w:val="single" w:color="BA7517" w:sz="8"/>
        </w:pBdr>
        <w:shd w:fill="FFF3CD" w:val="clear"/>
        <w:spacing w:after="60" w:before="60"/>
        <w:ind w:left="200"/>
      </w:pPr>
      <w:r>
        <w:rPr>
          <w:rFonts w:ascii="Arial" w:cs="Arial" w:eastAsia="Arial" w:hAnsi="Arial"/>
          <w:b/>
          <w:bCs/>
          <w:i w:val="false"/>
          <w:iCs w:val="false"/>
          <w:color w:val="BA7517"/>
          <w:sz w:val="20"/>
          <w:szCs w:val="20"/>
        </w:rPr>
        <w:t xml:space="preserve">NOTA: </w:t>
      </w:r>
      <w:r>
        <w:rPr>
          <w:rFonts w:ascii="Arial" w:cs="Arial" w:eastAsia="Arial" w:hAnsi="Arial"/>
          <w:b w:val="false"/>
          <w:bCs w:val="false"/>
          <w:i/>
          <w:iCs/>
          <w:color w:val="BA7517"/>
          <w:sz w:val="20"/>
          <w:szCs w:val="20"/>
        </w:rPr>
        <w:t xml:space="preserve">El objetivo de retorno de 30–50% es una referencia de evaluación a largo plazo, no la métrica central de las primeras fases. En live-small (primeras 8 semanas), las métricas que pesan más son: estabilidad de ejecución, gap paper/live, MDD, expectancy por trade y consistencia mensual. Un sistema que genera 20% anual de forma consistente vale más que uno que busca 50% y sobreoptimiza para conseguirlo.</w:t>
      </w:r>
    </w:p>
    <w:p>
      <w:pPr>
        <w:spacing w:after="60" w:before="0"/>
      </w:pPr>
      <w:r>
        <w:rPr>
          <w:rFonts w:ascii="Arial" w:cs="Arial" w:eastAsia="Arial" w:hAnsi="Arial"/>
          <w:b w:val="false"/>
          <w:bCs w:val="false"/>
          <w:i w:val="false"/>
          <w:iCs w:val="false"/>
          <w:color w:val="1A1A1A"/>
          <w:sz w:val="22"/>
          <w:szCs w:val="22"/>
        </w:rPr>
        <w:t xml:space="preserve"> </w:t>
      </w:r>
    </w:p>
    <w:p>
      <w:pPr>
        <w:spacing w:after="0" w:before="0"/>
      </w:pPr>
      <w:r>
        <w:br w:type="page"/>
      </w:r>
    </w:p>
    <w:p>
      <w:pPr>
        <w:pStyle w:val="Heading1"/>
        <w:pBdr>
          <w:bottom w:val="single" w:color="BA7517" w:sz="3"/>
        </w:pBdr>
        <w:shd w:fill="1B3A6B" w:val="clear"/>
        <w:spacing w:after="100" w:before="320"/>
        <w:ind w:left="120" w:right="120"/>
      </w:pPr>
      <w:r>
        <w:rPr>
          <w:rFonts w:ascii="Arial" w:cs="Arial" w:eastAsia="Arial" w:hAnsi="Arial"/>
          <w:b/>
          <w:bCs/>
          <w:i w:val="false"/>
          <w:iCs w:val="false"/>
          <w:color w:val="FFFFFF"/>
          <w:sz w:val="30"/>
          <w:szCs w:val="30"/>
        </w:rPr>
        <w:t xml:space="preserve">7. Entornos y Reglas de Promoción</w:t>
      </w:r>
    </w:p>
    <w:p>
      <w:pPr>
        <w:spacing w:after="80" w:before="0"/>
      </w:pPr>
      <w:r>
        <w:rPr>
          <w:rFonts w:ascii="Arial" w:cs="Arial" w:eastAsia="Arial" w:hAnsi="Arial"/>
          <w:b w:val="false"/>
          <w:bCs w:val="false"/>
          <w:i w:val="false"/>
          <w:iCs w:val="false"/>
          <w:color w:val="1A1A1A"/>
          <w:sz w:val="22"/>
          <w:szCs w:val="22"/>
        </w:rPr>
        <w:t xml:space="preserve"> </w:t>
      </w:r>
    </w:p>
    <w:p>
      <w:pPr>
        <w:pStyle w:val="Heading3"/>
        <w:pBdr>
          <w:bottom w:val="single" w:color="2E5FA3" w:sz="2"/>
        </w:pBdr>
        <w:spacing w:after="60" w:before="180"/>
      </w:pPr>
      <w:r>
        <w:rPr>
          <w:rFonts w:ascii="Arial" w:cs="Arial" w:eastAsia="Arial" w:hAnsi="Arial"/>
          <w:b/>
          <w:bCs/>
          <w:i w:val="false"/>
          <w:iCs w:val="false"/>
          <w:color w:val="1B3A6B"/>
          <w:sz w:val="22"/>
          <w:szCs w:val="22"/>
        </w:rPr>
        <w:t xml:space="preserve">7.1 Los cinco entornos</w:t>
      </w:r>
    </w:p>
    <w:p>
      <w:pPr>
        <w:spacing w:after="60" w:before="0"/>
      </w:pPr>
      <w:r>
        <w:rPr>
          <w:rFonts w:ascii="Arial" w:cs="Arial" w:eastAsia="Arial" w:hAnsi="Arial"/>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i w:val="false"/>
                <w:iCs w:val="false"/>
                <w:color w:val="FFFFFF"/>
                <w:sz w:val="21"/>
                <w:szCs w:val="21"/>
              </w:rPr>
              <w:t xml:space="preserve">Entorno</w:t>
            </w:r>
          </w:p>
        </w:tc>
        <w:tc>
          <w:tcPr>
            <w:tcW w:type="dxa" w:w="24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i w:val="false"/>
                <w:iCs w:val="false"/>
                <w:color w:val="FFFFFF"/>
                <w:sz w:val="21"/>
                <w:szCs w:val="21"/>
              </w:rPr>
              <w:t xml:space="preserve">Capital en juego</w:t>
            </w:r>
          </w:p>
        </w:tc>
        <w:tc>
          <w:tcPr>
            <w:tcW w:type="dxa" w:w="516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i w:val="false"/>
                <w:iCs w:val="false"/>
                <w:color w:val="FFFFFF"/>
                <w:sz w:val="21"/>
                <w:szCs w:val="21"/>
              </w:rPr>
              <w:t xml:space="preserve">Propósito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i w:val="false"/>
                <w:iCs w:val="false"/>
                <w:color w:val="0F6E56"/>
                <w:sz w:val="21"/>
                <w:szCs w:val="21"/>
              </w:rPr>
              <w:t xml:space="preserve">Research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Exploración de hipótesis, features, análisis histórico. Sin órdenes de ningún tipo.</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bCs/>
                <w:i w:val="false"/>
                <w:iCs w:val="false"/>
                <w:color w:val="0F6E56"/>
                <w:sz w:val="21"/>
                <w:szCs w:val="21"/>
              </w:rPr>
              <w:t xml:space="preserve">Backtest</w:t>
            </w:r>
          </w:p>
        </w:tc>
        <w:tc>
          <w:tcPr>
            <w:tcW w:type="dxa" w:w="24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$0</w:t>
            </w:r>
          </w:p>
        </w:tc>
        <w:tc>
          <w:tcPr>
            <w:tcW w:type="dxa" w:w="516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Validación de estrategias sobre datos históricos con costos reales simulados.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i w:val="false"/>
                <w:iCs w:val="false"/>
                <w:color w:val="0F6E56"/>
                <w:sz w:val="21"/>
                <w:szCs w:val="21"/>
              </w:rPr>
              <w:t xml:space="preserve">Paper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$1,500 simulados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Ejecución de señales en tiempo real sobre capital virtual. Mismo monto que el live-small.</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bCs/>
                <w:i w:val="false"/>
                <w:iCs w:val="false"/>
                <w:color w:val="0F6E56"/>
                <w:sz w:val="21"/>
                <w:szCs w:val="21"/>
              </w:rPr>
              <w:t xml:space="preserve">Live-small</w:t>
            </w:r>
          </w:p>
        </w:tc>
        <w:tc>
          <w:tcPr>
            <w:tcW w:type="dxa" w:w="24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$1,500 reales</w:t>
            </w:r>
          </w:p>
        </w:tc>
        <w:tc>
          <w:tcPr>
            <w:tcW w:type="dxa" w:w="516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Capital real mínimo. Primer contacto con ejecución real y fricción real.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i w:val="false"/>
                <w:iCs w:val="false"/>
                <w:color w:val="0F6E56"/>
                <w:sz w:val="21"/>
                <w:szCs w:val="21"/>
              </w:rPr>
              <w:t xml:space="preserve">Live-scaled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Hasta $3,000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Escala progresiva solo con métricas validadas de live-small.</w:t>
            </w:r>
          </w:p>
        </w:tc>
      </w:tr>
    </w:tbl>
    <w:p>
      <w:pPr>
        <w:spacing w:after="80" w:before="0"/>
      </w:pPr>
      <w:r>
        <w:rPr>
          <w:rFonts w:ascii="Arial" w:cs="Arial" w:eastAsia="Arial" w:hAnsi="Arial"/>
          <w:b w:val="false"/>
          <w:bCs w:val="false"/>
          <w:i w:val="false"/>
          <w:iCs w:val="false"/>
          <w:color w:val="1A1A1A"/>
          <w:sz w:val="22"/>
          <w:szCs w:val="22"/>
        </w:rPr>
        <w:t xml:space="preserve"> </w:t>
      </w:r>
    </w:p>
    <w:p>
      <w:pPr>
        <w:pStyle w:val="Heading3"/>
        <w:pBdr>
          <w:bottom w:val="single" w:color="2E5FA3" w:sz="2"/>
        </w:pBdr>
        <w:spacing w:after="60" w:before="180"/>
      </w:pPr>
      <w:r>
        <w:rPr>
          <w:rFonts w:ascii="Arial" w:cs="Arial" w:eastAsia="Arial" w:hAnsi="Arial"/>
          <w:b/>
          <w:bCs/>
          <w:i w:val="false"/>
          <w:iCs w:val="false"/>
          <w:color w:val="1B3A6B"/>
          <w:sz w:val="22"/>
          <w:szCs w:val="22"/>
        </w:rPr>
        <w:t xml:space="preserve">7.2 Condiciones de promoción entre entornos</w:t>
      </w:r>
    </w:p>
    <w:p>
      <w:pPr>
        <w:spacing w:after="60" w:before="0"/>
      </w:pPr>
      <w:r>
        <w:rPr>
          <w:rFonts w:ascii="Arial" w:cs="Arial" w:eastAsia="Arial" w:hAnsi="Arial"/>
          <w:b w:val="false"/>
          <w:bCs w:val="false"/>
          <w:i w:val="false"/>
          <w:iCs w:val="false"/>
          <w:color w:val="1A1A1A"/>
          <w:sz w:val="22"/>
          <w:szCs w:val="22"/>
        </w:rPr>
        <w:t xml:space="preserve"> </w:t>
      </w:r>
    </w:p>
    <w:p>
      <w:pPr>
        <w:pStyle w:val="ListParagraph"/>
        <w:numPr>
          <w:ilvl w:val="0"/>
          <w:numId w:val="2"/>
        </w:numPr>
        <w:spacing w:after="36" w:before="36"/>
      </w:pPr>
      <w:r>
        <w:rPr>
          <w:rFonts w:ascii="Arial" w:cs="Arial" w:eastAsia="Arial" w:hAnsi="Arial"/>
          <w:b/>
          <w:bCs/>
          <w:i w:val="false"/>
          <w:iCs w:val="false"/>
          <w:color w:val="1B3A6B"/>
          <w:sz w:val="21"/>
          <w:szCs w:val="21"/>
        </w:rPr>
        <w:t xml:space="preserve">Hipótesis económica documentada. Features con fundamento. Datos validados sin leakage.</w:t>
      </w:r>
      <w:r>
        <w:rPr>
          <w:rFonts w:ascii="Arial" w:cs="Arial" w:eastAsia="Arial" w:hAnsi="Arial"/>
          <w:b w:val="false"/>
          <w:bCs w:val="false"/>
          <w:i w:val="false"/>
          <w:iCs w:val="false"/>
          <w:color w:val="1A1A1A"/>
          <w:sz w:val="21"/>
          <w:szCs w:val="21"/>
        </w:rPr>
        <w:t xml:space="preserve">Research → Backtest: </w:t>
      </w:r>
    </w:p>
    <w:p>
      <w:pPr>
        <w:pStyle w:val="ListParagraph"/>
        <w:numPr>
          <w:ilvl w:val="0"/>
          <w:numId w:val="2"/>
        </w:numPr>
        <w:spacing w:after="36" w:before="36"/>
      </w:pPr>
      <w:r>
        <w:rPr>
          <w:rFonts w:ascii="Arial" w:cs="Arial" w:eastAsia="Arial" w:hAnsi="Arial"/>
          <w:b/>
          <w:bCs/>
          <w:i w:val="false"/>
          <w:iCs w:val="false"/>
          <w:color w:val="1B3A6B"/>
          <w:sz w:val="21"/>
          <w:szCs w:val="21"/>
        </w:rPr>
        <w:t xml:space="preserve">Sharpe &gt; 1.0 out-of-sample. MDD &lt; 20%. Walk-forward completado. Costos reales incluidos.</w:t>
      </w:r>
      <w:r>
        <w:rPr>
          <w:rFonts w:ascii="Arial" w:cs="Arial" w:eastAsia="Arial" w:hAnsi="Arial"/>
          <w:b w:val="false"/>
          <w:bCs w:val="false"/>
          <w:i w:val="false"/>
          <w:iCs w:val="false"/>
          <w:color w:val="1A1A1A"/>
          <w:sz w:val="21"/>
          <w:szCs w:val="21"/>
        </w:rPr>
        <w:t xml:space="preserve">Backtest → Paper: </w:t>
      </w:r>
    </w:p>
    <w:p>
      <w:pPr>
        <w:pStyle w:val="ListParagraph"/>
        <w:numPr>
          <w:ilvl w:val="0"/>
          <w:numId w:val="2"/>
        </w:numPr>
        <w:spacing w:after="36" w:before="36"/>
      </w:pPr>
      <w:r>
        <w:rPr>
          <w:rFonts w:ascii="Arial" w:cs="Arial" w:eastAsia="Arial" w:hAnsi="Arial"/>
          <w:b/>
          <w:bCs/>
          <w:i w:val="false"/>
          <w:iCs w:val="false"/>
          <w:color w:val="1B3A6B"/>
          <w:sz w:val="21"/>
          <w:szCs w:val="21"/>
        </w:rPr>
        <w:t xml:space="preserve">Mínimo 4 semanas de paper con PnL positivo documentado. Mínimo 20 trades ejecutados (para significancia estadística mínima). MDD en paper &lt; 15%. Gap backtest/paper &lt; 20%. Kill-switch probado y funcionando. Sin estos cinco criterios cumplidos simultáneamente, no se autoriza el paso a live.</w:t>
      </w:r>
      <w:r>
        <w:rPr>
          <w:rFonts w:ascii="Arial" w:cs="Arial" w:eastAsia="Arial" w:hAnsi="Arial"/>
          <w:b w:val="false"/>
          <w:bCs w:val="false"/>
          <w:i w:val="false"/>
          <w:iCs w:val="false"/>
          <w:color w:val="1A1A1A"/>
          <w:sz w:val="21"/>
          <w:szCs w:val="21"/>
        </w:rPr>
        <w:t xml:space="preserve">Paper → Live-small: </w:t>
      </w:r>
    </w:p>
    <w:p>
      <w:pPr>
        <w:pStyle w:val="ListParagraph"/>
        <w:numPr>
          <w:ilvl w:val="0"/>
          <w:numId w:val="2"/>
        </w:numPr>
        <w:spacing w:after="36" w:before="36"/>
      </w:pPr>
      <w:r>
        <w:rPr>
          <w:rFonts w:ascii="Arial" w:cs="Arial" w:eastAsia="Arial" w:hAnsi="Arial"/>
          <w:b/>
          <w:bCs/>
          <w:i w:val="false"/>
          <w:iCs w:val="false"/>
          <w:color w:val="1B3A6B"/>
          <w:sz w:val="21"/>
          <w:szCs w:val="21"/>
        </w:rPr>
        <w:t xml:space="preserve">Mínimo 8 semanas de live-small con métricas positivas. Sin activaciones de circuit breaker sin diagnóstico.</w:t>
      </w:r>
      <w:r>
        <w:rPr>
          <w:rFonts w:ascii="Arial" w:cs="Arial" w:eastAsia="Arial" w:hAnsi="Arial"/>
          <w:b w:val="false"/>
          <w:bCs w:val="false"/>
          <w:i w:val="false"/>
          <w:iCs w:val="false"/>
          <w:color w:val="1A1A1A"/>
          <w:sz w:val="21"/>
          <w:szCs w:val="21"/>
        </w:rPr>
        <w:t xml:space="preserve">Live-small → Live-scaled: </w:t>
      </w:r>
    </w:p>
    <w:p>
      <w:pPr>
        <w:pStyle w:val="ListParagraph"/>
        <w:numPr>
          <w:ilvl w:val="0"/>
          <w:numId w:val="2"/>
        </w:numPr>
        <w:spacing w:after="36" w:before="36"/>
      </w:pPr>
      <w:r>
        <w:rPr>
          <w:rFonts w:ascii="Arial" w:cs="Arial" w:eastAsia="Arial" w:hAnsi="Arial"/>
          <w:b/>
          <w:bCs/>
          <w:i w:val="false"/>
          <w:iCs w:val="false"/>
          <w:color w:val="1B3A6B"/>
          <w:sz w:val="21"/>
          <w:szCs w:val="21"/>
        </w:rPr>
        <w:t xml:space="preserve">Drawdown &gt; 20%, cambio de régimen que invalide la hipótesis, fallo de datos o slippage &gt; 2x el estimado.</w:t>
      </w:r>
      <w:r>
        <w:rPr>
          <w:rFonts w:ascii="Arial" w:cs="Arial" w:eastAsia="Arial" w:hAnsi="Arial"/>
          <w:b w:val="false"/>
          <w:bCs w:val="false"/>
          <w:i w:val="false"/>
          <w:iCs w:val="false"/>
          <w:color w:val="1A1A1A"/>
          <w:sz w:val="21"/>
          <w:szCs w:val="21"/>
        </w:rPr>
        <w:t xml:space="preserve">Desactivación automática: </w:t>
      </w:r>
    </w:p>
    <w:p>
      <w:pPr>
        <w:spacing w:after="60" w:before="0"/>
      </w:pPr>
      <w:r>
        <w:rPr>
          <w:rFonts w:ascii="Arial" w:cs="Arial" w:eastAsia="Arial" w:hAnsi="Arial"/>
          <w:b w:val="false"/>
          <w:bCs w:val="false"/>
          <w:i w:val="false"/>
          <w:iCs w:val="false"/>
          <w:color w:val="1A1A1A"/>
          <w:sz w:val="22"/>
          <w:szCs w:val="22"/>
        </w:rPr>
        <w:t xml:space="preserve"> </w:t>
      </w:r>
    </w:p>
    <w:p>
      <w:pPr>
        <w:pBdr>
          <w:left w:val="single" w:color="BA7517" w:sz="8"/>
        </w:pBdr>
        <w:shd w:fill="FFF3CD" w:val="clear"/>
        <w:spacing w:after="60" w:before="60"/>
        <w:ind w:left="200"/>
      </w:pPr>
      <w:r>
        <w:rPr>
          <w:rFonts w:ascii="Arial" w:cs="Arial" w:eastAsia="Arial" w:hAnsi="Arial"/>
          <w:b/>
          <w:bCs/>
          <w:i w:val="false"/>
          <w:iCs w:val="false"/>
          <w:color w:val="BA7517"/>
          <w:sz w:val="20"/>
          <w:szCs w:val="20"/>
        </w:rPr>
        <w:t xml:space="preserve">NOTA: </w:t>
      </w:r>
      <w:r>
        <w:rPr>
          <w:rFonts w:ascii="Arial" w:cs="Arial" w:eastAsia="Arial" w:hAnsi="Arial"/>
          <w:b w:val="false"/>
          <w:bCs w:val="false"/>
          <w:i/>
          <w:iCs/>
          <w:color w:val="BA7517"/>
          <w:sz w:val="20"/>
          <w:szCs w:val="20"/>
        </w:rPr>
        <w:t xml:space="preserve">Los entornos son estancos. Ningún dato, código o decisión de un entorno se mezcla con otro sin un proceso formal de promoción documentado.</w:t>
      </w:r>
    </w:p>
    <w:p>
      <w:pPr>
        <w:spacing w:after="60" w:before="0"/>
      </w:pPr>
      <w:r>
        <w:rPr>
          <w:rFonts w:ascii="Arial" w:cs="Arial" w:eastAsia="Arial" w:hAnsi="Arial"/>
          <w:b w:val="false"/>
          <w:bCs w:val="false"/>
          <w:i w:val="false"/>
          <w:iCs w:val="false"/>
          <w:color w:val="1A1A1A"/>
          <w:sz w:val="22"/>
          <w:szCs w:val="22"/>
        </w:rPr>
        <w:t xml:space="preserve"> </w:t>
      </w:r>
    </w:p>
    <w:p>
      <w:pPr>
        <w:spacing w:after="0" w:before="0"/>
      </w:pPr>
      <w:r>
        <w:br w:type="page"/>
      </w:r>
    </w:p>
    <w:p>
      <w:pPr>
        <w:pStyle w:val="Heading1"/>
        <w:pBdr>
          <w:bottom w:val="single" w:color="BA7517" w:sz="3"/>
        </w:pBdr>
        <w:shd w:fill="1B3A6B" w:val="clear"/>
        <w:spacing w:after="100" w:before="320"/>
        <w:ind w:left="120" w:right="120"/>
      </w:pPr>
      <w:r>
        <w:rPr>
          <w:rFonts w:ascii="Arial" w:cs="Arial" w:eastAsia="Arial" w:hAnsi="Arial"/>
          <w:b/>
          <w:bCs/>
          <w:i w:val="false"/>
          <w:iCs w:val="false"/>
          <w:color w:val="FFFFFF"/>
          <w:sz w:val="30"/>
          <w:szCs w:val="30"/>
        </w:rPr>
        <w:t xml:space="preserve">8. Stack de Arranque — Fase 0</w:t>
      </w:r>
    </w:p>
    <w:p>
      <w:pPr>
        <w:spacing w:after="60" w:before="0"/>
      </w:pPr>
      <w:r>
        <w:rPr>
          <w:rFonts w:ascii="Arial" w:cs="Arial" w:eastAsia="Arial" w:hAnsi="Arial"/>
          <w:b w:val="false"/>
          <w:bCs w:val="false"/>
          <w:i w:val="false"/>
          <w:iCs w:val="false"/>
          <w:color w:val="1A1A1A"/>
          <w:sz w:val="22"/>
          <w:szCs w:val="22"/>
        </w:rPr>
        <w:t xml:space="preserve"> </w:t>
      </w:r>
    </w:p>
    <w:p>
      <w:pPr>
        <w:spacing w:after="50" w:before="50"/>
      </w:pPr>
      <w:r>
        <w:rPr>
          <w:rFonts w:ascii="Arial" w:cs="Arial" w:eastAsia="Arial" w:hAnsi="Arial"/>
          <w:b w:val="false"/>
          <w:bCs w:val="false"/>
          <w:i/>
          <w:iCs/>
          <w:color w:val="5F5E5A"/>
          <w:sz w:val="21"/>
          <w:szCs w:val="21"/>
        </w:rPr>
        <w:t xml:space="preserve">El stack de Fase 0 es el mínimo viable para construir la plataforma de datos. No se instala nada que no sea necesario en esta fase.</w:t>
      </w:r>
    </w:p>
    <w:p>
      <w:pPr>
        <w:spacing w:after="80" w:before="0"/>
      </w:pPr>
      <w:r>
        <w:rPr>
          <w:rFonts w:ascii="Arial" w:cs="Arial" w:eastAsia="Arial" w:hAnsi="Arial"/>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i w:val="false"/>
                <w:iCs w:val="false"/>
                <w:color w:val="FFFFFF"/>
                <w:sz w:val="21"/>
                <w:szCs w:val="21"/>
              </w:rPr>
              <w:t xml:space="preserve">Componente</w:t>
            </w:r>
          </w:p>
        </w:tc>
        <w:tc>
          <w:tcPr>
            <w:tcW w:type="dxa" w:w="26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i w:val="false"/>
                <w:iCs w:val="false"/>
                <w:color w:val="FFFFFF"/>
                <w:sz w:val="21"/>
                <w:szCs w:val="21"/>
              </w:rPr>
              <w:t xml:space="preserve">Tecnología</w:t>
            </w:r>
          </w:p>
        </w:tc>
        <w:tc>
          <w:tcPr>
            <w:tcW w:type="dxa" w:w="436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i w:val="false"/>
                <w:iCs w:val="false"/>
                <w:color w:val="FFFFFF"/>
                <w:sz w:val="21"/>
                <w:szCs w:val="21"/>
              </w:rPr>
              <w:t xml:space="preserve">Propósito en Fase 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i w:val="false"/>
                <w:iCs w:val="false"/>
                <w:color w:val="1B3A6B"/>
                <w:sz w:val="21"/>
                <w:szCs w:val="21"/>
              </w:rPr>
              <w:t xml:space="preserve">Lenguaje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Python 3.11+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Todo el sistema. CCXT, pandas, TA-Lib, FastAPI.</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bCs/>
                <w:i w:val="false"/>
                <w:iCs w:val="false"/>
                <w:color w:val="1B3A6B"/>
                <w:sz w:val="21"/>
                <w:szCs w:val="21"/>
              </w:rPr>
              <w:t xml:space="preserve">Orquestación</w:t>
            </w:r>
          </w:p>
        </w:tc>
        <w:tc>
          <w:tcPr>
            <w:tcW w:type="dxa" w:w="26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Apache Airflow</w:t>
            </w:r>
          </w:p>
        </w:tc>
        <w:tc>
          <w:tcPr>
            <w:tcW w:type="dxa" w:w="436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Primer DAG: ingesta diaria de OHLCV BTC/ETH.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i w:val="false"/>
                <w:iCs w:val="false"/>
                <w:color w:val="1B3A6B"/>
                <w:sz w:val="21"/>
                <w:szCs w:val="21"/>
              </w:rPr>
              <w:t xml:space="preserve">Base de datos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TimescaleDB (Postgres)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Series temporales de precios y métricas.</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bCs/>
                <w:i w:val="false"/>
                <w:iCs w:val="false"/>
                <w:color w:val="1B3A6B"/>
                <w:sz w:val="21"/>
                <w:szCs w:val="21"/>
              </w:rPr>
              <w:t xml:space="preserve">Caché</w:t>
            </w:r>
          </w:p>
        </w:tc>
        <w:tc>
          <w:tcPr>
            <w:tcW w:type="dxa" w:w="26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Redis</w:t>
            </w:r>
          </w:p>
        </w:tc>
        <w:tc>
          <w:tcPr>
            <w:tcW w:type="dxa" w:w="436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Datos de precios en tiempo real.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i w:val="false"/>
                <w:iCs w:val="false"/>
                <w:color w:val="1B3A6B"/>
                <w:sz w:val="21"/>
                <w:szCs w:val="21"/>
              </w:rPr>
              <w:t xml:space="preserve">Data Lake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Azure Blob Storage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Raw zone: datos crudos sin procesar.</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bCs/>
                <w:i w:val="false"/>
                <w:iCs w:val="false"/>
                <w:color w:val="1B3A6B"/>
                <w:sz w:val="21"/>
                <w:szCs w:val="21"/>
              </w:rPr>
              <w:t xml:space="preserve">Exchange API</w:t>
            </w:r>
          </w:p>
        </w:tc>
        <w:tc>
          <w:tcPr>
            <w:tcW w:type="dxa" w:w="26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CCXT + Binance WS</w:t>
            </w:r>
          </w:p>
        </w:tc>
        <w:tc>
          <w:tcPr>
            <w:tcW w:type="dxa" w:w="436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Conexión unificada a Binance para datos y (futuro) ejecución.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i w:val="false"/>
                <w:iCs w:val="false"/>
                <w:color w:val="1B3A6B"/>
                <w:sz w:val="21"/>
                <w:szCs w:val="21"/>
              </w:rPr>
              <w:t xml:space="preserve">Macro data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FRED API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Tasas, CPI, M2, índice de liquidez.</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bCs/>
                <w:i w:val="false"/>
                <w:iCs w:val="false"/>
                <w:color w:val="1B3A6B"/>
                <w:sz w:val="21"/>
                <w:szCs w:val="21"/>
              </w:rPr>
              <w:t xml:space="preserve">On-chain (básico)</w:t>
            </w:r>
          </w:p>
        </w:tc>
        <w:tc>
          <w:tcPr>
            <w:tcW w:type="dxa" w:w="26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CoinGecko API (gratuita)</w:t>
            </w:r>
          </w:p>
        </w:tc>
        <w:tc>
          <w:tcPr>
            <w:tcW w:type="dxa" w:w="436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Primera capa on-chain sin costo. Glassnode en fases posteriores.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i w:val="false"/>
                <w:iCs w:val="false"/>
                <w:color w:val="1B3A6B"/>
                <w:sz w:val="21"/>
                <w:szCs w:val="21"/>
              </w:rPr>
              <w:t xml:space="preserve">Monitoreo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Telegram Bot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Alertas de pipeline: éxito, fallo, datos atrasados.</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bCs/>
                <w:i w:val="false"/>
                <w:iCs w:val="false"/>
                <w:color w:val="1B3A6B"/>
                <w:sz w:val="21"/>
                <w:szCs w:val="21"/>
              </w:rPr>
              <w:t xml:space="preserve">Control de versiones</w:t>
            </w:r>
          </w:p>
        </w:tc>
        <w:tc>
          <w:tcPr>
            <w:tcW w:type="dxa" w:w="26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Git + GitHub</w:t>
            </w:r>
          </w:p>
        </w:tc>
        <w:tc>
          <w:tcPr>
            <w:tcW w:type="dxa" w:w="436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Todo el código versionado desde el día 1.</w:t>
            </w:r>
          </w:p>
        </w:tc>
      </w:tr>
    </w:tbl>
    <w:p>
      <w:pPr>
        <w:spacing w:after="60" w:before="0"/>
      </w:pPr>
      <w:r>
        <w:rPr>
          <w:rFonts w:ascii="Arial" w:cs="Arial" w:eastAsia="Arial" w:hAnsi="Arial"/>
          <w:b w:val="false"/>
          <w:bCs w:val="false"/>
          <w:i w:val="false"/>
          <w:iCs w:val="false"/>
          <w:color w:val="1A1A1A"/>
          <w:sz w:val="22"/>
          <w:szCs w:val="22"/>
        </w:rPr>
        <w:t xml:space="preserve"> </w:t>
      </w:r>
    </w:p>
    <w:p>
      <w:pPr>
        <w:spacing w:after="0" w:before="0"/>
      </w:pPr>
      <w:r>
        <w:br w:type="page"/>
      </w:r>
    </w:p>
    <w:p>
      <w:pPr>
        <w:pStyle w:val="Heading1"/>
        <w:pBdr>
          <w:bottom w:val="single" w:color="BA7517" w:sz="3"/>
        </w:pBdr>
        <w:shd w:fill="1B3A6B" w:val="clear"/>
        <w:spacing w:after="100" w:before="320"/>
        <w:ind w:left="120" w:right="120"/>
      </w:pPr>
      <w:r>
        <w:rPr>
          <w:rFonts w:ascii="Arial" w:cs="Arial" w:eastAsia="Arial" w:hAnsi="Arial"/>
          <w:b/>
          <w:bCs/>
          <w:i w:val="false"/>
          <w:iCs w:val="false"/>
          <w:color w:val="FFFFFF"/>
          <w:sz w:val="30"/>
          <w:szCs w:val="30"/>
        </w:rPr>
        <w:t xml:space="preserve">9. Plan de Acción — Fase 0</w:t>
      </w:r>
    </w:p>
    <w:p>
      <w:pPr>
        <w:spacing w:after="60" w:before="0"/>
      </w:pPr>
      <w:r>
        <w:rPr>
          <w:rFonts w:ascii="Arial" w:cs="Arial" w:eastAsia="Arial" w:hAnsi="Arial"/>
          <w:b w:val="false"/>
          <w:bCs w:val="false"/>
          <w:i w:val="false"/>
          <w:iCs w:val="false"/>
          <w:color w:val="1A1A1A"/>
          <w:sz w:val="22"/>
          <w:szCs w:val="22"/>
        </w:rPr>
        <w:t xml:space="preserve"> </w:t>
      </w:r>
    </w:p>
    <w:p>
      <w:pPr>
        <w:spacing w:after="50" w:before="50"/>
      </w:pPr>
      <w:r>
        <w:rPr>
          <w:rFonts w:ascii="Arial" w:cs="Arial" w:eastAsia="Arial" w:hAnsi="Arial"/>
          <w:b w:val="false"/>
          <w:bCs w:val="false"/>
          <w:i/>
          <w:iCs/>
          <w:color w:val="5F5E5A"/>
          <w:sz w:val="21"/>
          <w:szCs w:val="21"/>
        </w:rPr>
        <w:t xml:space="preserve">La Fase 0 dura 2 a 3 semanas. El único objetivo es tener el primer latido del sistema: datos fluyendo, validados y almacenados. Nada más.</w:t>
      </w:r>
    </w:p>
    <w:p>
      <w:pPr>
        <w:spacing w:after="80" w:before="0"/>
      </w:pPr>
      <w:r>
        <w:rPr>
          <w:rFonts w:ascii="Arial" w:cs="Arial" w:eastAsia="Arial" w:hAnsi="Arial"/>
          <w:b w:val="false"/>
          <w:bCs w:val="false"/>
          <w:i w:val="false"/>
          <w:iCs w:val="false"/>
          <w:color w:val="1A1A1A"/>
          <w:sz w:val="22"/>
          <w:szCs w:val="22"/>
        </w:rPr>
        <w:t xml:space="preserve"> </w:t>
      </w:r>
    </w:p>
    <w:p>
      <w:pPr>
        <w:pStyle w:val="Heading3"/>
        <w:pBdr>
          <w:bottom w:val="single" w:color="2E5FA3" w:sz="2"/>
        </w:pBdr>
        <w:spacing w:after="60" w:before="180"/>
      </w:pPr>
      <w:r>
        <w:rPr>
          <w:rFonts w:ascii="Arial" w:cs="Arial" w:eastAsia="Arial" w:hAnsi="Arial"/>
          <w:b/>
          <w:bCs/>
          <w:i w:val="false"/>
          <w:iCs w:val="false"/>
          <w:color w:val="1B3A6B"/>
          <w:sz w:val="22"/>
          <w:szCs w:val="22"/>
        </w:rPr>
        <w:t xml:space="preserve">Semana 1 — Infraestructura base</w:t>
      </w:r>
    </w:p>
    <w:p>
      <w:pPr>
        <w:spacing w:after="40" w:before="0"/>
      </w:pPr>
      <w:r>
        <w:rPr>
          <w:rFonts w:ascii="Arial" w:cs="Arial" w:eastAsia="Arial" w:hAnsi="Arial"/>
          <w:b w:val="false"/>
          <w:bCs w:val="false"/>
          <w:i w:val="false"/>
          <w:iCs w:val="false"/>
          <w:color w:val="1A1A1A"/>
          <w:sz w:val="22"/>
          <w:szCs w:val="22"/>
        </w:rPr>
        <w:t xml:space="preserve"> </w:t>
      </w:r>
    </w:p>
    <w:p>
      <w:pPr>
        <w:pStyle w:val="ListParagraph"/>
        <w:numPr>
          <w:ilvl w:val="0"/>
          <w:numId w:val="2"/>
        </w:numPr>
        <w:spacing w:after="36" w:before="36"/>
      </w:pPr>
      <w:r>
        <w:rPr>
          <w:rFonts w:ascii="Arial" w:cs="Arial" w:eastAsia="Arial" w:hAnsi="Arial"/>
          <w:b w:val="false"/>
          <w:bCs w:val="false"/>
          <w:i w:val="false"/>
          <w:iCs w:val="false"/>
          <w:color w:val="1A1A1A"/>
          <w:sz w:val="21"/>
          <w:szCs w:val="21"/>
        </w:rPr>
        <w:t xml:space="preserve">Crear repositorio Git y estructura de carpetas del proyecto</w:t>
      </w:r>
    </w:p>
    <w:p>
      <w:pPr>
        <w:pStyle w:val="ListParagraph"/>
        <w:numPr>
          <w:ilvl w:val="0"/>
          <w:numId w:val="2"/>
        </w:numPr>
        <w:spacing w:after="36" w:before="36"/>
      </w:pPr>
      <w:r>
        <w:rPr>
          <w:rFonts w:ascii="Arial" w:cs="Arial" w:eastAsia="Arial" w:hAnsi="Arial"/>
          <w:b w:val="false"/>
          <w:bCs w:val="false"/>
          <w:i w:val="false"/>
          <w:iCs w:val="false"/>
          <w:color w:val="1A1A1A"/>
          <w:sz w:val="21"/>
          <w:szCs w:val="21"/>
        </w:rPr>
        <w:t xml:space="preserve">Instalar Python, Airflow, TimescaleDB y Redis en entorno local o Azure VM</w:t>
      </w:r>
    </w:p>
    <w:p>
      <w:pPr>
        <w:pStyle w:val="ListParagraph"/>
        <w:numPr>
          <w:ilvl w:val="0"/>
          <w:numId w:val="2"/>
        </w:numPr>
        <w:spacing w:after="36" w:before="36"/>
      </w:pPr>
      <w:r>
        <w:rPr>
          <w:rFonts w:ascii="Arial" w:cs="Arial" w:eastAsia="Arial" w:hAnsi="Arial"/>
          <w:b w:val="false"/>
          <w:bCs w:val="false"/>
          <w:i w:val="false"/>
          <w:iCs w:val="false"/>
          <w:color w:val="1A1A1A"/>
          <w:sz w:val="21"/>
          <w:szCs w:val="21"/>
        </w:rPr>
        <w:t xml:space="preserve">Crear cuenta en Binance (si no existe) y generar API keys de solo lectura</w:t>
      </w:r>
    </w:p>
    <w:p>
      <w:pPr>
        <w:pStyle w:val="ListParagraph"/>
        <w:numPr>
          <w:ilvl w:val="0"/>
          <w:numId w:val="2"/>
        </w:numPr>
        <w:spacing w:after="36" w:before="36"/>
      </w:pPr>
      <w:r>
        <w:rPr>
          <w:rFonts w:ascii="Arial" w:cs="Arial" w:eastAsia="Arial" w:hAnsi="Arial"/>
          <w:b w:val="false"/>
          <w:bCs w:val="false"/>
          <w:i w:val="false"/>
          <w:iCs w:val="false"/>
          <w:color w:val="1A1A1A"/>
          <w:sz w:val="21"/>
          <w:szCs w:val="21"/>
        </w:rPr>
        <w:t xml:space="preserve">Crear cuenta en FRED API (gratuita) para datos macro</w:t>
      </w:r>
    </w:p>
    <w:p>
      <w:pPr>
        <w:pStyle w:val="ListParagraph"/>
        <w:numPr>
          <w:ilvl w:val="0"/>
          <w:numId w:val="2"/>
        </w:numPr>
        <w:spacing w:after="36" w:before="36"/>
      </w:pPr>
      <w:r>
        <w:rPr>
          <w:rFonts w:ascii="Arial" w:cs="Arial" w:eastAsia="Arial" w:hAnsi="Arial"/>
          <w:b w:val="false"/>
          <w:bCs w:val="false"/>
          <w:i w:val="false"/>
          <w:iCs w:val="false"/>
          <w:color w:val="1A1A1A"/>
          <w:sz w:val="21"/>
          <w:szCs w:val="21"/>
        </w:rPr>
        <w:t xml:space="preserve">Primer script Python: descarga de OHLCV histórico BTC/ETH (12 meses) vía CCXT</w:t>
      </w:r>
    </w:p>
    <w:p>
      <w:pPr>
        <w:pStyle w:val="ListParagraph"/>
        <w:numPr>
          <w:ilvl w:val="0"/>
          <w:numId w:val="2"/>
        </w:numPr>
        <w:spacing w:after="36" w:before="36"/>
      </w:pPr>
      <w:r>
        <w:rPr>
          <w:rFonts w:ascii="Arial" w:cs="Arial" w:eastAsia="Arial" w:hAnsi="Arial"/>
          <w:b w:val="false"/>
          <w:bCs w:val="false"/>
          <w:i w:val="false"/>
          <w:iCs w:val="false"/>
          <w:color w:val="1A1A1A"/>
          <w:sz w:val="21"/>
          <w:szCs w:val="21"/>
        </w:rPr>
        <w:t xml:space="preserve">Primer DAG de Airflow: ingesta diaria automática de precios BTC/ETH</w:t>
      </w:r>
    </w:p>
    <w:p>
      <w:pPr>
        <w:pStyle w:val="ListParagraph"/>
        <w:numPr>
          <w:ilvl w:val="0"/>
          <w:numId w:val="2"/>
        </w:numPr>
        <w:spacing w:after="36" w:before="36"/>
      </w:pPr>
      <w:r>
        <w:rPr>
          <w:rFonts w:ascii="Arial" w:cs="Arial" w:eastAsia="Arial" w:hAnsi="Arial"/>
          <w:b w:val="false"/>
          <w:bCs w:val="false"/>
          <w:i w:val="false"/>
          <w:iCs w:val="false"/>
          <w:color w:val="1A1A1A"/>
          <w:sz w:val="21"/>
          <w:szCs w:val="21"/>
        </w:rPr>
        <w:t xml:space="preserve">Almacenamiento en TimescaleDB con schema definido</w:t>
      </w:r>
    </w:p>
    <w:p>
      <w:pPr>
        <w:spacing w:after="60" w:before="0"/>
      </w:pPr>
      <w:r>
        <w:rPr>
          <w:rFonts w:ascii="Arial" w:cs="Arial" w:eastAsia="Arial" w:hAnsi="Arial"/>
          <w:b w:val="false"/>
          <w:bCs w:val="false"/>
          <w:i w:val="false"/>
          <w:iCs w:val="false"/>
          <w:color w:val="1A1A1A"/>
          <w:sz w:val="22"/>
          <w:szCs w:val="22"/>
        </w:rPr>
        <w:t xml:space="preserve"> </w:t>
      </w:r>
    </w:p>
    <w:p>
      <w:pPr>
        <w:pStyle w:val="Heading3"/>
        <w:pBdr>
          <w:bottom w:val="single" w:color="2E5FA3" w:sz="2"/>
        </w:pBdr>
        <w:spacing w:after="60" w:before="180"/>
      </w:pPr>
      <w:r>
        <w:rPr>
          <w:rFonts w:ascii="Arial" w:cs="Arial" w:eastAsia="Arial" w:hAnsi="Arial"/>
          <w:b/>
          <w:bCs/>
          <w:i w:val="false"/>
          <w:iCs w:val="false"/>
          <w:color w:val="1B3A6B"/>
          <w:sz w:val="22"/>
          <w:szCs w:val="22"/>
        </w:rPr>
        <w:t xml:space="preserve">Semana 2 — Validación y datos adicionales</w:t>
      </w:r>
    </w:p>
    <w:p>
      <w:pPr>
        <w:spacing w:after="40" w:before="0"/>
      </w:pPr>
      <w:r>
        <w:rPr>
          <w:rFonts w:ascii="Arial" w:cs="Arial" w:eastAsia="Arial" w:hAnsi="Arial"/>
          <w:b w:val="false"/>
          <w:bCs w:val="false"/>
          <w:i w:val="false"/>
          <w:iCs w:val="false"/>
          <w:color w:val="1A1A1A"/>
          <w:sz w:val="22"/>
          <w:szCs w:val="22"/>
        </w:rPr>
        <w:t xml:space="preserve"> </w:t>
      </w:r>
    </w:p>
    <w:p>
      <w:pPr>
        <w:pStyle w:val="ListParagraph"/>
        <w:numPr>
          <w:ilvl w:val="0"/>
          <w:numId w:val="2"/>
        </w:numPr>
        <w:spacing w:after="36" w:before="36"/>
      </w:pPr>
      <w:r>
        <w:rPr>
          <w:rFonts w:ascii="Arial" w:cs="Arial" w:eastAsia="Arial" w:hAnsi="Arial"/>
          <w:b w:val="false"/>
          <w:bCs w:val="false"/>
          <w:i w:val="false"/>
          <w:iCs w:val="false"/>
          <w:color w:val="1A1A1A"/>
          <w:sz w:val="21"/>
          <w:szCs w:val="21"/>
        </w:rPr>
        <w:t xml:space="preserve">Agregar validaciones automáticas al DAG: huecos, duplicados, timestamps</w:t>
      </w:r>
    </w:p>
    <w:p>
      <w:pPr>
        <w:pStyle w:val="ListParagraph"/>
        <w:numPr>
          <w:ilvl w:val="0"/>
          <w:numId w:val="2"/>
        </w:numPr>
        <w:spacing w:after="36" w:before="36"/>
      </w:pPr>
      <w:r>
        <w:rPr>
          <w:rFonts w:ascii="Arial" w:cs="Arial" w:eastAsia="Arial" w:hAnsi="Arial"/>
          <w:b w:val="false"/>
          <w:bCs w:val="false"/>
          <w:i w:val="false"/>
          <w:iCs w:val="false"/>
          <w:color w:val="1A1A1A"/>
          <w:sz w:val="21"/>
          <w:szCs w:val="21"/>
        </w:rPr>
        <w:t xml:space="preserve">Conectar FRED API: descargar Federal Funds Rate, CPI, M2 mensual</w:t>
      </w:r>
    </w:p>
    <w:p>
      <w:pPr>
        <w:pStyle w:val="ListParagraph"/>
        <w:numPr>
          <w:ilvl w:val="0"/>
          <w:numId w:val="2"/>
        </w:numPr>
        <w:spacing w:after="36" w:before="36"/>
      </w:pPr>
      <w:r>
        <w:rPr>
          <w:rFonts w:ascii="Arial" w:cs="Arial" w:eastAsia="Arial" w:hAnsi="Arial"/>
          <w:b w:val="false"/>
          <w:bCs w:val="false"/>
          <w:i w:val="false"/>
          <w:iCs w:val="false"/>
          <w:color w:val="1A1A1A"/>
          <w:sz w:val="21"/>
          <w:szCs w:val="21"/>
        </w:rPr>
        <w:t xml:space="preserve">Agregar datos de top 5 altcoins por capitalización (mismo DAG)</w:t>
      </w:r>
    </w:p>
    <w:p>
      <w:pPr>
        <w:pStyle w:val="ListParagraph"/>
        <w:numPr>
          <w:ilvl w:val="0"/>
          <w:numId w:val="2"/>
        </w:numPr>
        <w:spacing w:after="36" w:before="36"/>
      </w:pPr>
      <w:r>
        <w:rPr>
          <w:rFonts w:ascii="Arial" w:cs="Arial" w:eastAsia="Arial" w:hAnsi="Arial"/>
          <w:b w:val="false"/>
          <w:bCs w:val="false"/>
          <w:i w:val="false"/>
          <w:iCs w:val="false"/>
          <w:color w:val="1A1A1A"/>
          <w:sz w:val="21"/>
          <w:szCs w:val="21"/>
        </w:rPr>
        <w:t xml:space="preserve">Configurar Telegram Bot con alerta de éxito/fallo del pipeline diario</w:t>
      </w:r>
    </w:p>
    <w:p>
      <w:pPr>
        <w:pStyle w:val="ListParagraph"/>
        <w:numPr>
          <w:ilvl w:val="0"/>
          <w:numId w:val="2"/>
        </w:numPr>
        <w:spacing w:after="36" w:before="36"/>
      </w:pPr>
      <w:r>
        <w:rPr>
          <w:rFonts w:ascii="Arial" w:cs="Arial" w:eastAsia="Arial" w:hAnsi="Arial"/>
          <w:b w:val="false"/>
          <w:bCs w:val="false"/>
          <w:i w:val="false"/>
          <w:iCs w:val="false"/>
          <w:color w:val="1A1A1A"/>
          <w:sz w:val="21"/>
          <w:szCs w:val="21"/>
        </w:rPr>
        <w:t xml:space="preserve">Crear primer dashboard básico en Grafana: precio BTC/ETH y estado del pipeline</w:t>
      </w:r>
    </w:p>
    <w:p>
      <w:pPr>
        <w:pStyle w:val="ListParagraph"/>
        <w:numPr>
          <w:ilvl w:val="0"/>
          <w:numId w:val="2"/>
        </w:numPr>
        <w:spacing w:after="36" w:before="36"/>
      </w:pPr>
      <w:r>
        <w:rPr>
          <w:rFonts w:ascii="Arial" w:cs="Arial" w:eastAsia="Arial" w:hAnsi="Arial"/>
          <w:b w:val="false"/>
          <w:bCs w:val="false"/>
          <w:i w:val="false"/>
          <w:iCs w:val="false"/>
          <w:color w:val="1A1A1A"/>
          <w:sz w:val="21"/>
          <w:szCs w:val="21"/>
        </w:rPr>
        <w:t xml:space="preserve">Documentar el schema completo de datos en el diccionario del proyecto</w:t>
      </w:r>
    </w:p>
    <w:p>
      <w:pPr>
        <w:spacing w:after="60" w:before="0"/>
      </w:pPr>
      <w:r>
        <w:rPr>
          <w:rFonts w:ascii="Arial" w:cs="Arial" w:eastAsia="Arial" w:hAnsi="Arial"/>
          <w:b w:val="false"/>
          <w:bCs w:val="false"/>
          <w:i w:val="false"/>
          <w:iCs w:val="false"/>
          <w:color w:val="1A1A1A"/>
          <w:sz w:val="22"/>
          <w:szCs w:val="22"/>
        </w:rPr>
        <w:t xml:space="preserve"> </w:t>
      </w:r>
    </w:p>
    <w:p>
      <w:pPr>
        <w:pStyle w:val="Heading3"/>
        <w:pBdr>
          <w:bottom w:val="single" w:color="2E5FA3" w:sz="2"/>
        </w:pBdr>
        <w:spacing w:after="60" w:before="180"/>
      </w:pPr>
      <w:r>
        <w:rPr>
          <w:rFonts w:ascii="Arial" w:cs="Arial" w:eastAsia="Arial" w:hAnsi="Arial"/>
          <w:b/>
          <w:bCs/>
          <w:i w:val="false"/>
          <w:iCs w:val="false"/>
          <w:color w:val="1B3A6B"/>
          <w:sz w:val="22"/>
          <w:szCs w:val="22"/>
        </w:rPr>
        <w:t xml:space="preserve">Semana 3 — Cierre de Fase 0</w:t>
      </w:r>
    </w:p>
    <w:p>
      <w:pPr>
        <w:spacing w:after="40" w:before="0"/>
      </w:pPr>
      <w:r>
        <w:rPr>
          <w:rFonts w:ascii="Arial" w:cs="Arial" w:eastAsia="Arial" w:hAnsi="Arial"/>
          <w:b w:val="false"/>
          <w:bCs w:val="false"/>
          <w:i w:val="false"/>
          <w:iCs w:val="false"/>
          <w:color w:val="1A1A1A"/>
          <w:sz w:val="22"/>
          <w:szCs w:val="22"/>
        </w:rPr>
        <w:t xml:space="preserve"> </w:t>
      </w:r>
    </w:p>
    <w:p>
      <w:pPr>
        <w:pStyle w:val="ListParagraph"/>
        <w:numPr>
          <w:ilvl w:val="0"/>
          <w:numId w:val="2"/>
        </w:numPr>
        <w:spacing w:after="36" w:before="36"/>
      </w:pPr>
      <w:r>
        <w:rPr>
          <w:rFonts w:ascii="Arial" w:cs="Arial" w:eastAsia="Arial" w:hAnsi="Arial"/>
          <w:b w:val="false"/>
          <w:bCs w:val="false"/>
          <w:i w:val="false"/>
          <w:iCs w:val="false"/>
          <w:color w:val="1A1A1A"/>
          <w:sz w:val="21"/>
          <w:szCs w:val="21"/>
        </w:rPr>
        <w:t xml:space="preserve">Validar 12 meses de datos históricos completos y sin huecos para BTC, ETH y top 5 altcoins</w:t>
      </w:r>
    </w:p>
    <w:p>
      <w:pPr>
        <w:pStyle w:val="ListParagraph"/>
        <w:numPr>
          <w:ilvl w:val="0"/>
          <w:numId w:val="2"/>
        </w:numPr>
        <w:spacing w:after="36" w:before="36"/>
      </w:pPr>
      <w:r>
        <w:rPr>
          <w:rFonts w:ascii="Arial" w:cs="Arial" w:eastAsia="Arial" w:hAnsi="Arial"/>
          <w:b w:val="false"/>
          <w:bCs w:val="false"/>
          <w:i w:val="false"/>
          <w:iCs w:val="false"/>
          <w:color w:val="1A1A1A"/>
          <w:sz w:val="21"/>
          <w:szCs w:val="21"/>
        </w:rPr>
        <w:t xml:space="preserve">Confirmar que el DAG diario lleva 5 días seguidos ejecutándose sin error</w:t>
      </w:r>
    </w:p>
    <w:p>
      <w:pPr>
        <w:pStyle w:val="ListParagraph"/>
        <w:numPr>
          <w:ilvl w:val="0"/>
          <w:numId w:val="2"/>
        </w:numPr>
        <w:spacing w:after="36" w:before="36"/>
      </w:pPr>
      <w:r>
        <w:rPr>
          <w:rFonts w:ascii="Arial" w:cs="Arial" w:eastAsia="Arial" w:hAnsi="Arial"/>
          <w:b w:val="false"/>
          <w:bCs w:val="false"/>
          <w:i w:val="false"/>
          <w:iCs w:val="false"/>
          <w:color w:val="1A1A1A"/>
          <w:sz w:val="21"/>
          <w:szCs w:val="21"/>
        </w:rPr>
        <w:t xml:space="preserve">Confirmar que las alertas de Telegram funcionan correctamente</w:t>
      </w:r>
    </w:p>
    <w:p>
      <w:pPr>
        <w:pStyle w:val="ListParagraph"/>
        <w:numPr>
          <w:ilvl w:val="0"/>
          <w:numId w:val="2"/>
        </w:numPr>
        <w:spacing w:after="36" w:before="36"/>
      </w:pPr>
      <w:r>
        <w:rPr>
          <w:rFonts w:ascii="Arial" w:cs="Arial" w:eastAsia="Arial" w:hAnsi="Arial"/>
          <w:b w:val="false"/>
          <w:bCs w:val="false"/>
          <w:i w:val="false"/>
          <w:iCs w:val="false"/>
          <w:color w:val="1A1A1A"/>
          <w:sz w:val="21"/>
          <w:szCs w:val="21"/>
        </w:rPr>
        <w:t xml:space="preserve">Documentar todos los supuestos y decisiones tomadas en Fase 0</w:t>
      </w:r>
    </w:p>
    <w:p>
      <w:pPr>
        <w:pStyle w:val="ListParagraph"/>
        <w:numPr>
          <w:ilvl w:val="0"/>
          <w:numId w:val="2"/>
        </w:numPr>
        <w:spacing w:after="36" w:before="36"/>
      </w:pPr>
      <w:r>
        <w:rPr>
          <w:rFonts w:ascii="Arial" w:cs="Arial" w:eastAsia="Arial" w:hAnsi="Arial"/>
          <w:b w:val="false"/>
          <w:bCs w:val="false"/>
          <w:i w:val="false"/>
          <w:iCs w:val="false"/>
          <w:color w:val="1A1A1A"/>
          <w:sz w:val="21"/>
          <w:szCs w:val="21"/>
        </w:rPr>
        <w:t xml:space="preserve">Revisar este Investment Memo y ajustar si hubo cambios en los parámetros</w:t>
      </w:r>
    </w:p>
    <w:p>
      <w:pPr>
        <w:pStyle w:val="ListParagraph"/>
        <w:numPr>
          <w:ilvl w:val="0"/>
          <w:numId w:val="2"/>
        </w:numPr>
        <w:spacing w:after="36" w:before="36"/>
      </w:pPr>
      <w:r>
        <w:rPr>
          <w:rFonts w:ascii="Arial" w:cs="Arial" w:eastAsia="Arial" w:hAnsi="Arial"/>
          <w:b w:val="false"/>
          <w:bCs w:val="false"/>
          <w:i w:val="false"/>
          <w:iCs w:val="false"/>
          <w:color w:val="1A1A1A"/>
          <w:sz w:val="21"/>
          <w:szCs w:val="21"/>
        </w:rPr>
        <w:t xml:space="preserve">Declarar formalmente el cierre de Fase 0 y apertura de Fase 1</w:t>
      </w:r>
    </w:p>
    <w:p>
      <w:pPr>
        <w:spacing w:after="80" w:before="0"/>
      </w:pPr>
      <w:r>
        <w:rPr>
          <w:rFonts w:ascii="Arial" w:cs="Arial" w:eastAsia="Arial" w:hAnsi="Arial"/>
          <w:b w:val="false"/>
          <w:bCs w:val="false"/>
          <w:i w:val="false"/>
          <w:iCs w:val="false"/>
          <w:color w:val="1A1A1A"/>
          <w:sz w:val="22"/>
          <w:szCs w:val="22"/>
        </w:rPr>
        <w:t xml:space="preserve"> </w:t>
      </w:r>
    </w:p>
    <w:p>
      <w:pPr>
        <w:pBdr>
          <w:left w:val="single" w:color="0F6E56" w:sz="8"/>
        </w:pBdr>
        <w:shd w:fill="E8F5EE" w:val="clear"/>
        <w:spacing w:after="80" w:before="80"/>
        <w:ind w:left="200" w:right="200"/>
      </w:pPr>
      <w:r>
        <w:rPr>
          <w:rFonts w:ascii="Arial" w:cs="Arial" w:eastAsia="Arial" w:hAnsi="Arial"/>
          <w:b/>
          <w:bCs/>
          <w:i w:val="false"/>
          <w:iCs w:val="false"/>
          <w:color w:val="0F6E56"/>
          <w:sz w:val="21"/>
          <w:szCs w:val="21"/>
        </w:rPr>
        <w:t xml:space="preserve">Condición de cierre de Fase 0: datos de 12 meses almacenados y validados para BTC, ETH y mínimo 5 altcoins top 20. DAG ejecutándose 5 días consecutivos sin error. Alertas Telegram activas. Sin este criterio cumplido, no se declara Fase 1.</w:t>
      </w:r>
    </w:p>
    <w:p>
      <w:pPr>
        <w:spacing w:after="60" w:before="0"/>
      </w:pPr>
      <w:r>
        <w:rPr>
          <w:rFonts w:ascii="Arial" w:cs="Arial" w:eastAsia="Arial" w:hAnsi="Arial"/>
          <w:b w:val="false"/>
          <w:bCs w:val="false"/>
          <w:i w:val="false"/>
          <w:iCs w:val="false"/>
          <w:color w:val="1A1A1A"/>
          <w:sz w:val="22"/>
          <w:szCs w:val="22"/>
        </w:rPr>
        <w:t xml:space="preserve"> </w:t>
      </w:r>
    </w:p>
    <w:p>
      <w:pPr>
        <w:spacing w:after="0" w:before="0"/>
      </w:pPr>
      <w:r>
        <w:br w:type="page"/>
      </w:r>
    </w:p>
    <w:p>
      <w:pPr>
        <w:pStyle w:val="Heading1"/>
        <w:pBdr>
          <w:bottom w:val="single" w:color="BA7517" w:sz="3"/>
        </w:pBdr>
        <w:shd w:fill="1B3A6B" w:val="clear"/>
        <w:spacing w:after="100" w:before="320"/>
        <w:ind w:left="120" w:right="120"/>
      </w:pPr>
      <w:r>
        <w:rPr>
          <w:rFonts w:ascii="Arial" w:cs="Arial" w:eastAsia="Arial" w:hAnsi="Arial"/>
          <w:b/>
          <w:bCs/>
          <w:i w:val="false"/>
          <w:iCs w:val="false"/>
          <w:color w:val="FFFFFF"/>
          <w:sz w:val="30"/>
          <w:szCs w:val="30"/>
        </w:rPr>
        <w:t xml:space="preserve">10. Revisión del Mandato y Vigencia</w:t>
      </w:r>
    </w:p>
    <w:p>
      <w:pPr>
        <w:spacing w:after="80" w:before="0"/>
      </w:pPr>
      <w:r>
        <w:rPr>
          <w:rFonts w:ascii="Arial" w:cs="Arial" w:eastAsia="Arial" w:hAnsi="Arial"/>
          <w:b w:val="false"/>
          <w:bCs w:val="false"/>
          <w:i w:val="false"/>
          <w:iCs w:val="false"/>
          <w:color w:val="1A1A1A"/>
          <w:sz w:val="22"/>
          <w:szCs w:val="22"/>
        </w:rPr>
        <w:t xml:space="preserve"> </w:t>
      </w:r>
    </w:p>
    <w:p>
      <w:pPr>
        <w:pStyle w:val="Heading3"/>
        <w:pBdr>
          <w:bottom w:val="single" w:color="2E5FA3" w:sz="2"/>
        </w:pBdr>
        <w:spacing w:after="60" w:before="180"/>
      </w:pPr>
      <w:r>
        <w:rPr>
          <w:rFonts w:ascii="Arial" w:cs="Arial" w:eastAsia="Arial" w:hAnsi="Arial"/>
          <w:b/>
          <w:bCs/>
          <w:i w:val="false"/>
          <w:iCs w:val="false"/>
          <w:color w:val="1B3A6B"/>
          <w:sz w:val="22"/>
          <w:szCs w:val="22"/>
        </w:rPr>
        <w:t xml:space="preserve">Frecuencia de revisión</w:t>
      </w:r>
    </w:p>
    <w:p>
      <w:pPr>
        <w:spacing w:after="40" w:before="0"/>
      </w:pPr>
      <w:r>
        <w:rPr>
          <w:rFonts w:ascii="Arial" w:cs="Arial" w:eastAsia="Arial" w:hAnsi="Arial"/>
          <w:b w:val="false"/>
          <w:bCs w:val="false"/>
          <w:i w:val="false"/>
          <w:iCs w:val="false"/>
          <w:color w:val="1A1A1A"/>
          <w:sz w:val="22"/>
          <w:szCs w:val="22"/>
        </w:rPr>
        <w:t xml:space="preserve"> </w:t>
      </w:r>
    </w:p>
    <w:p>
      <w:pPr>
        <w:pStyle w:val="ListParagraph"/>
        <w:numPr>
          <w:ilvl w:val="0"/>
          <w:numId w:val="2"/>
        </w:numPr>
        <w:spacing w:after="36" w:before="36"/>
      </w:pPr>
      <w:r>
        <w:rPr>
          <w:rFonts w:ascii="Arial" w:cs="Arial" w:eastAsia="Arial" w:hAnsi="Arial"/>
          <w:b w:val="false"/>
          <w:bCs w:val="false"/>
          <w:i w:val="false"/>
          <w:iCs w:val="false"/>
          <w:color w:val="1A1A1A"/>
          <w:sz w:val="21"/>
          <w:szCs w:val="21"/>
        </w:rPr>
        <w:t xml:space="preserve">Revisión mensual: verificar que los límites del mandato siguen siendo apropiados para el capital y el contexto de mercado.</w:t>
      </w:r>
    </w:p>
    <w:p>
      <w:pPr>
        <w:pStyle w:val="ListParagraph"/>
        <w:numPr>
          <w:ilvl w:val="0"/>
          <w:numId w:val="2"/>
        </w:numPr>
        <w:spacing w:after="36" w:before="36"/>
      </w:pPr>
      <w:r>
        <w:rPr>
          <w:rFonts w:ascii="Arial" w:cs="Arial" w:eastAsia="Arial" w:hAnsi="Arial"/>
          <w:b w:val="false"/>
          <w:bCs w:val="false"/>
          <w:i w:val="false"/>
          <w:iCs w:val="false"/>
          <w:color w:val="1A1A1A"/>
          <w:sz w:val="21"/>
          <w:szCs w:val="21"/>
        </w:rPr>
        <w:t xml:space="preserve">Revisión por evento: cualquier activación de drawdown máximo o kill-switch obliga a revisión formal antes de reactivar.</w:t>
      </w:r>
    </w:p>
    <w:p>
      <w:pPr>
        <w:pStyle w:val="ListParagraph"/>
        <w:numPr>
          <w:ilvl w:val="0"/>
          <w:numId w:val="2"/>
        </w:numPr>
        <w:spacing w:after="36" w:before="36"/>
      </w:pPr>
      <w:r>
        <w:rPr>
          <w:rFonts w:ascii="Arial" w:cs="Arial" w:eastAsia="Arial" w:hAnsi="Arial"/>
          <w:b w:val="false"/>
          <w:bCs w:val="false"/>
          <w:i w:val="false"/>
          <w:iCs w:val="false"/>
          <w:color w:val="1A1A1A"/>
          <w:sz w:val="21"/>
          <w:szCs w:val="21"/>
        </w:rPr>
        <w:t xml:space="preserve">Revisión por fase: al cerrar cada fase, revisar este documento antes de declarar la fase siguiente.</w:t>
      </w:r>
    </w:p>
    <w:p>
      <w:pPr>
        <w:pStyle w:val="ListParagraph"/>
        <w:numPr>
          <w:ilvl w:val="0"/>
          <w:numId w:val="2"/>
        </w:numPr>
        <w:spacing w:after="36" w:before="36"/>
      </w:pPr>
      <w:r>
        <w:rPr>
          <w:rFonts w:ascii="Arial" w:cs="Arial" w:eastAsia="Arial" w:hAnsi="Arial"/>
          <w:b w:val="false"/>
          <w:bCs w:val="false"/>
          <w:i w:val="false"/>
          <w:iCs w:val="false"/>
          <w:color w:val="1A1A1A"/>
          <w:sz w:val="21"/>
          <w:szCs w:val="21"/>
        </w:rPr>
        <w:t xml:space="preserve">Revisión anual: actualizar objetivos de rendimiento, límites de capital y universo operable con base en el historial real del sistema.</w:t>
      </w:r>
    </w:p>
    <w:p>
      <w:pPr>
        <w:spacing w:after="80" w:before="0"/>
      </w:pPr>
      <w:r>
        <w:rPr>
          <w:rFonts w:ascii="Arial" w:cs="Arial" w:eastAsia="Arial" w:hAnsi="Arial"/>
          <w:b w:val="false"/>
          <w:bCs w:val="false"/>
          <w:i w:val="false"/>
          <w:iCs w:val="false"/>
          <w:color w:val="1A1A1A"/>
          <w:sz w:val="22"/>
          <w:szCs w:val="22"/>
        </w:rPr>
        <w:t xml:space="preserve"> </w:t>
      </w:r>
    </w:p>
    <w:p>
      <w:pPr>
        <w:pStyle w:val="Heading3"/>
        <w:pBdr>
          <w:bottom w:val="single" w:color="2E5FA3" w:sz="2"/>
        </w:pBdr>
        <w:spacing w:after="60" w:before="180"/>
      </w:pPr>
      <w:r>
        <w:rPr>
          <w:rFonts w:ascii="Arial" w:cs="Arial" w:eastAsia="Arial" w:hAnsi="Arial"/>
          <w:b/>
          <w:bCs/>
          <w:i w:val="false"/>
          <w:iCs w:val="false"/>
          <w:color w:val="1B3A6B"/>
          <w:sz w:val="22"/>
          <w:szCs w:val="22"/>
        </w:rPr>
        <w:t xml:space="preserve">Condiciones que invalidan este mandato y requieren versión nueva</w:t>
      </w:r>
    </w:p>
    <w:p>
      <w:pPr>
        <w:spacing w:after="40" w:before="0"/>
      </w:pPr>
      <w:r>
        <w:rPr>
          <w:rFonts w:ascii="Arial" w:cs="Arial" w:eastAsia="Arial" w:hAnsi="Arial"/>
          <w:b w:val="false"/>
          <w:bCs w:val="false"/>
          <w:i w:val="false"/>
          <w:iCs w:val="false"/>
          <w:color w:val="1A1A1A"/>
          <w:sz w:val="22"/>
          <w:szCs w:val="22"/>
        </w:rPr>
        <w:t xml:space="preserve"> </w:t>
      </w:r>
    </w:p>
    <w:p>
      <w:pPr>
        <w:pStyle w:val="ListParagraph"/>
        <w:numPr>
          <w:ilvl w:val="0"/>
          <w:numId w:val="2"/>
        </w:numPr>
        <w:spacing w:after="36" w:before="36"/>
      </w:pPr>
      <w:r>
        <w:rPr>
          <w:rFonts w:ascii="Arial" w:cs="Arial" w:eastAsia="Arial" w:hAnsi="Arial"/>
          <w:b w:val="false"/>
          <w:bCs w:val="false"/>
          <w:i w:val="false"/>
          <w:iCs w:val="false"/>
          <w:color w:val="1A1A1A"/>
          <w:sz w:val="21"/>
          <w:szCs w:val="21"/>
        </w:rPr>
        <w:t xml:space="preserve">Cambio de capital asignado mayor al 50% del valor actual</w:t>
      </w:r>
    </w:p>
    <w:p>
      <w:pPr>
        <w:pStyle w:val="ListParagraph"/>
        <w:numPr>
          <w:ilvl w:val="0"/>
          <w:numId w:val="2"/>
        </w:numPr>
        <w:spacing w:after="36" w:before="36"/>
      </w:pPr>
      <w:r>
        <w:rPr>
          <w:rFonts w:ascii="Arial" w:cs="Arial" w:eastAsia="Arial" w:hAnsi="Arial"/>
          <w:b w:val="false"/>
          <w:bCs w:val="false"/>
          <w:i w:val="false"/>
          <w:iCs w:val="false"/>
          <w:color w:val="1A1A1A"/>
          <w:sz w:val="21"/>
          <w:szCs w:val="21"/>
        </w:rPr>
        <w:t xml:space="preserve">Incorporación de futuros perpetuos o leverage al universo operable</w:t>
      </w:r>
    </w:p>
    <w:p>
      <w:pPr>
        <w:pStyle w:val="ListParagraph"/>
        <w:numPr>
          <w:ilvl w:val="0"/>
          <w:numId w:val="2"/>
        </w:numPr>
        <w:spacing w:after="36" w:before="36"/>
      </w:pPr>
      <w:r>
        <w:rPr>
          <w:rFonts w:ascii="Arial" w:cs="Arial" w:eastAsia="Arial" w:hAnsi="Arial"/>
          <w:b w:val="false"/>
          <w:bCs w:val="false"/>
          <w:i w:val="false"/>
          <w:iCs w:val="false"/>
          <w:color w:val="1A1A1A"/>
          <w:sz w:val="21"/>
          <w:szCs w:val="21"/>
        </w:rPr>
        <w:t xml:space="preserve">Cambio de horizonte principal (por ejemplo, incorporar intradía)</w:t>
      </w:r>
    </w:p>
    <w:p>
      <w:pPr>
        <w:pStyle w:val="ListParagraph"/>
        <w:numPr>
          <w:ilvl w:val="0"/>
          <w:numId w:val="2"/>
        </w:numPr>
        <w:spacing w:after="36" w:before="36"/>
      </w:pPr>
      <w:r>
        <w:rPr>
          <w:rFonts w:ascii="Arial" w:cs="Arial" w:eastAsia="Arial" w:hAnsi="Arial"/>
          <w:b w:val="false"/>
          <w:bCs w:val="false"/>
          <w:i w:val="false"/>
          <w:iCs w:val="false"/>
          <w:color w:val="1A1A1A"/>
          <w:sz w:val="21"/>
          <w:szCs w:val="21"/>
        </w:rPr>
        <w:t xml:space="preserve">Cambio en los límites de pérdida diaria, semanal o drawdown máximo</w:t>
      </w:r>
    </w:p>
    <w:p>
      <w:pPr>
        <w:pStyle w:val="ListParagraph"/>
        <w:numPr>
          <w:ilvl w:val="0"/>
          <w:numId w:val="2"/>
        </w:numPr>
        <w:spacing w:after="36" w:before="36"/>
      </w:pPr>
      <w:r>
        <w:rPr>
          <w:rFonts w:ascii="Arial" w:cs="Arial" w:eastAsia="Arial" w:hAnsi="Arial"/>
          <w:b w:val="false"/>
          <w:bCs w:val="false"/>
          <w:i w:val="false"/>
          <w:iCs w:val="false"/>
          <w:color w:val="1A1A1A"/>
          <w:sz w:val="21"/>
          <w:szCs w:val="21"/>
        </w:rPr>
        <w:t xml:space="preserve">Incorporación de un nuevo exchange como principal</w:t>
      </w:r>
    </w:p>
    <w:p>
      <w:pPr>
        <w:spacing w:after="80" w:before="0"/>
      </w:pPr>
      <w:r>
        <w:rPr>
          <w:rFonts w:ascii="Arial" w:cs="Arial" w:eastAsia="Arial" w:hAnsi="Arial"/>
          <w:b w:val="false"/>
          <w:bCs w:val="false"/>
          <w:i w:val="false"/>
          <w:iCs w:val="false"/>
          <w:color w:val="1A1A1A"/>
          <w:sz w:val="22"/>
          <w:szCs w:val="22"/>
        </w:rPr>
        <w:t xml:space="preserve"> </w:t>
      </w:r>
    </w:p>
    <w:p>
      <w:pPr>
        <w:pStyle w:val="Heading3"/>
        <w:pBdr>
          <w:bottom w:val="single" w:color="2E5FA3" w:sz="2"/>
        </w:pBdr>
        <w:spacing w:after="60" w:before="180"/>
      </w:pPr>
      <w:r>
        <w:rPr>
          <w:rFonts w:ascii="Arial" w:cs="Arial" w:eastAsia="Arial" w:hAnsi="Arial"/>
          <w:b/>
          <w:bCs/>
          <w:i w:val="false"/>
          <w:iCs w:val="false"/>
          <w:color w:val="1B3A6B"/>
          <w:sz w:val="22"/>
          <w:szCs w:val="22"/>
        </w:rPr>
        <w:t xml:space="preserve">Firmas de compromiso</w:t>
      </w:r>
    </w:p>
    <w:p>
      <w:pPr>
        <w:spacing w:after="60" w:before="0"/>
      </w:pPr>
      <w:r>
        <w:rPr>
          <w:rFonts w:ascii="Arial" w:cs="Arial" w:eastAsia="Arial" w:hAnsi="Arial"/>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120"/>
              <w:left w:type="dxa" w:w="160"/>
              <w:bottom w:type="dxa" w:w="200"/>
              <w:right w:type="dxa" w:w="120"/>
            </w:tcMar>
          </w:tcPr>
          <w:p>
            <w:pPr>
              <w:spacing w:after="80"/>
            </w:pPr>
            <w:r>
              <w:rPr>
                <w:rFonts w:ascii="Arial" w:cs="Arial" w:eastAsia="Arial" w:hAnsi="Arial"/>
                <w:b/>
                <w:bCs/>
                <w:i w:val="false"/>
                <w:iCs w:val="false"/>
                <w:color w:val="1B3A6B"/>
                <w:sz w:val="21"/>
                <w:szCs w:val="21"/>
              </w:rPr>
              <w:t xml:space="preserve">Responsable del sistema</w:t>
            </w:r>
          </w:p>
          <w:p>
            <w:pPr>
              <w:spacing w:after="60"/>
            </w:pPr>
            <w:r>
              <w:rPr>
                <w:rFonts w:ascii="Arial" w:cs="Arial" w:eastAsia="Arial" w:hAnsi="Arial"/>
                <w:b w:val="false"/>
                <w:bCs w:val="false"/>
                <w:i w:val="false"/>
                <w:iCs w:val="false"/>
                <w:color w:val="1A1A1A"/>
                <w:sz w:val="21"/>
                <w:szCs w:val="21"/>
              </w:rPr>
              <w:t xml:space="preserve">Nombre: ____________________________</w:t>
            </w:r>
          </w:p>
          <w:p>
            <w:pPr>
              <w:spacing w:after="60"/>
            </w:pPr>
            <w:r>
              <w:rPr>
                <w:rFonts w:ascii="Arial" w:cs="Arial" w:eastAsia="Arial" w:hAnsi="Arial"/>
                <w:b w:val="false"/>
                <w:bCs w:val="false"/>
                <w:i w:val="false"/>
                <w:iCs w:val="false"/>
                <w:color w:val="1A1A1A"/>
                <w:sz w:val="21"/>
                <w:szCs w:val="21"/>
              </w:rPr>
              <w:t xml:space="preserve">Fecha: _____________________________</w:t>
            </w:r>
          </w:p>
          <w:p>
            <w:r>
              <w:rPr>
                <w:rFonts w:ascii="Arial" w:cs="Arial" w:eastAsia="Arial" w:hAnsi="Arial"/>
                <w:b w:val="false"/>
                <w:bCs w:val="false"/>
                <w:i w:val="false"/>
                <w:iCs w:val="false"/>
                <w:color w:val="1A1A1A"/>
                <w:sz w:val="21"/>
                <w:szCs w:val="21"/>
              </w:rPr>
              <w:t xml:space="preserve">Firma: _____________________________</w:t>
            </w:r>
          </w:p>
        </w:tc>
        <w:tc>
          <w:tcPr>
            <w:tcW w:type="dxa" w:w="4680"/>
            <w:tcBorders>
              <w:top w:val="single" w:color="CCCCCC" w:sz="1"/>
              <w:left w:val="single" w:color="CCCCCC" w:sz="1"/>
              <w:bottom w:val="single" w:color="CCCCCC" w:sz="1"/>
              <w:right w:val="single" w:color="CCCCCC" w:sz="1"/>
            </w:tcBorders>
            <w:tcMar>
              <w:top w:type="dxa" w:w="120"/>
              <w:left w:type="dxa" w:w="160"/>
              <w:bottom w:type="dxa" w:w="200"/>
              <w:right w:type="dxa" w:w="120"/>
            </w:tcMar>
          </w:tcPr>
          <w:p>
            <w:pPr>
              <w:spacing w:after="80"/>
            </w:pPr>
            <w:r>
              <w:rPr>
                <w:rFonts w:ascii="Arial" w:cs="Arial" w:eastAsia="Arial" w:hAnsi="Arial"/>
                <w:b/>
                <w:bCs/>
                <w:i w:val="false"/>
                <w:iCs w:val="false"/>
                <w:color w:val="1B3A6B"/>
                <w:sz w:val="21"/>
                <w:szCs w:val="21"/>
              </w:rPr>
              <w:t xml:space="preserve">Versión del documento</w:t>
            </w:r>
          </w:p>
          <w:p>
            <w:pPr>
              <w:spacing w:after="60"/>
            </w:pPr>
            <w:r>
              <w:rPr>
                <w:rFonts w:ascii="Arial" w:cs="Arial" w:eastAsia="Arial" w:hAnsi="Arial"/>
                <w:b w:val="false"/>
                <w:bCs w:val="false"/>
                <w:i w:val="false"/>
                <w:iCs w:val="false"/>
                <w:color w:val="1A1A1A"/>
                <w:sz w:val="21"/>
                <w:szCs w:val="21"/>
              </w:rPr>
              <w:t xml:space="preserve">Versión: 1.1</w:t>
            </w:r>
          </w:p>
          <w:p>
            <w:pPr>
              <w:spacing w:after="60"/>
            </w:pPr>
            <w:r>
              <w:rPr>
                <w:rFonts w:ascii="Arial" w:cs="Arial" w:eastAsia="Arial" w:hAnsi="Arial"/>
                <w:b w:val="false"/>
                <w:bCs w:val="false"/>
                <w:i w:val="false"/>
                <w:iCs w:val="false"/>
                <w:color w:val="1A1A1A"/>
                <w:sz w:val="21"/>
                <w:szCs w:val="21"/>
              </w:rPr>
              <w:t xml:space="preserve">Fecha de emisión: Marzo 2026</w:t>
            </w:r>
          </w:p>
          <w:p>
            <w:r>
              <w:rPr>
                <w:rFonts w:ascii="Arial" w:cs="Arial" w:eastAsia="Arial" w:hAnsi="Arial"/>
                <w:b w:val="false"/>
                <w:bCs w:val="false"/>
                <w:i w:val="false"/>
                <w:iCs w:val="false"/>
                <w:color w:val="1A1A1A"/>
                <w:sz w:val="21"/>
                <w:szCs w:val="21"/>
              </w:rPr>
              <w:t xml:space="preserve">Alineado con Blueprint Maestro v1.1</w:t>
            </w:r>
          </w:p>
        </w:tc>
      </w:tr>
    </w:tbl>
    <w:p>
      <w:pPr>
        <w:spacing w:after="80" w:before="0"/>
      </w:pPr>
      <w:r>
        <w:rPr>
          <w:rFonts w:ascii="Arial" w:cs="Arial" w:eastAsia="Arial" w:hAnsi="Arial"/>
          <w:b w:val="false"/>
          <w:bCs w:val="false"/>
          <w:i w:val="false"/>
          <w:iCs w:val="false"/>
          <w:color w:val="1A1A1A"/>
          <w:sz w:val="22"/>
          <w:szCs w:val="22"/>
        </w:rPr>
        <w:t xml:space="preserve"> </w:t>
      </w:r>
    </w:p>
    <w:p>
      <w:pPr>
        <w:pBdr>
          <w:top w:val="single" w:color="BA7517" w:sz="3"/>
        </w:pBdr>
        <w:spacing w:after="0" w:before="60"/>
        <w:jc w:val="center"/>
      </w:pPr>
      <w:r>
        <w:rPr>
          <w:rFonts w:ascii="Arial" w:cs="Arial" w:eastAsia="Arial" w:hAnsi="Arial"/>
          <w:b w:val="false"/>
          <w:bCs w:val="false"/>
          <w:i/>
          <w:iCs/>
          <w:color w:val="5F5E5A"/>
          <w:sz w:val="19"/>
          <w:szCs w:val="19"/>
        </w:rPr>
        <w:t xml:space="preserve">Investment Memo v1.1  ·  Sistema de Trading Algorítmico  ·  Marzo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2"/>
      </w:pBdr>
      <w:tabs>
        <w:tab w:val="right" w:pos="9026"/>
      </w:tabs>
      <w:spacing w:before="60"/>
    </w:pPr>
    <w:r>
      <w:rPr>
        <w:rFonts w:ascii="Arial" w:cs="Arial" w:eastAsia="Arial" w:hAnsi="Arial"/>
        <w:b w:val="false"/>
        <w:bCs w:val="false"/>
        <w:i w:val="false"/>
        <w:iCs w:val="false"/>
        <w:color w:val="5F5E5A"/>
        <w:sz w:val="18"/>
        <w:szCs w:val="18"/>
      </w:rPr>
      <w:t xml:space="preserve">Alineado con Blueprint Maestro v1.1</w:t>
    </w:r>
    <w:r>
      <w:rPr>
        <w:rFonts w:ascii="Arial" w:cs="Arial" w:eastAsia="Arial" w:hAnsi="Arial"/>
        <w:sz w:val="18"/>
        <w:szCs w:val="18"/>
      </w:rPr>
      <w:t xml:space="preserve">	</w:t>
    </w:r>
    <w:fldSimple w:instr="PAGE">
      <w:r>
        <w:rPr>
          <w:rFonts w:ascii="Arial" w:cs="Arial" w:eastAsia="Arial" w:hAnsi="Arial"/>
          <w:color w:val="5F5E5A"/>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1C7" w:sz="2"/>
      </w:pBdr>
      <w:tabs>
        <w:tab w:val="right" w:pos="9026"/>
      </w:tabs>
      <w:spacing w:after="60"/>
    </w:pPr>
    <w:r>
      <w:rPr>
        <w:rFonts w:ascii="Arial" w:cs="Arial" w:eastAsia="Arial" w:hAnsi="Arial"/>
        <w:b w:val="false"/>
        <w:bCs w:val="false"/>
        <w:i w:val="false"/>
        <w:iCs w:val="false"/>
        <w:color w:val="5F5E5A"/>
        <w:sz w:val="18"/>
        <w:szCs w:val="18"/>
      </w:rPr>
      <w:t xml:space="preserve">INVESTMENT MEMO  |  Sistema de Trading Algorítmico</w:t>
    </w:r>
    <w:r>
      <w:rPr>
        <w:rFonts w:ascii="Arial" w:cs="Arial" w:eastAsia="Arial" w:hAnsi="Arial"/>
        <w:sz w:val="18"/>
        <w:szCs w:val="18"/>
      </w:rPr>
      <w:t xml:space="preserve">	</w:t>
    </w:r>
    <w:r>
      <w:rPr>
        <w:rFonts w:ascii="Arial" w:cs="Arial" w:eastAsia="Arial" w:hAnsi="Arial"/>
        <w:b w:val="false"/>
        <w:bCs w:val="false"/>
        <w:i/>
        <w:iCs/>
        <w:color w:val="5F5E5A"/>
        <w:sz w:val="18"/>
        <w:szCs w:val="18"/>
      </w:rPr>
      <w:t xml:space="preserve">Documento Confidencial  ·  v1.1  ·  Marzo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00" w:before="320"/>
      <w:outlineLvl w:val="0"/>
    </w:pPr>
    <w:rPr>
      <w:rFonts w:ascii="Arial" w:cs="Arial" w:eastAsia="Arial" w:hAnsi="Arial"/>
      <w:b/>
      <w:bCs/>
      <w:color w:val="FFFFFF"/>
      <w:sz w:val="30"/>
      <w:szCs w:val="30"/>
    </w:rPr>
  </w:style>
  <w:style w:type="paragraph" w:styleId="Heading2">
    <w:name w:val="Heading 2"/>
    <w:basedOn w:val="Normal"/>
    <w:next w:val="Normal"/>
    <w:pPr>
      <w:spacing w:after="80" w:before="240"/>
      <w:outlineLvl w:val="1"/>
    </w:pPr>
    <w:rPr>
      <w:rFonts w:ascii="Arial" w:cs="Arial" w:eastAsia="Arial" w:hAnsi="Arial"/>
      <w:b/>
      <w:bCs/>
      <w:color w:val="FFFFFF"/>
      <w:sz w:val="24"/>
      <w:szCs w:val="24"/>
    </w:rPr>
  </w:style>
  <w:style w:type="paragraph" w:styleId="Heading3">
    <w:name w:val="Heading 3"/>
    <w:basedOn w:val="Normal"/>
    <w:next w:val="Normal"/>
    <w:pPr>
      <w:spacing w:after="60" w:before="180"/>
      <w:outlineLvl w:val="2"/>
    </w:pPr>
    <w:rPr>
      <w:rFonts w:ascii="Arial" w:cs="Arial" w:eastAsia="Arial" w:hAnsi="Arial"/>
      <w:b/>
      <w:bCs/>
      <w:color w:val="1B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2026-03-29T22:47:33.209Z</dcterms:created>
  <dcterms:modified xsi:type="dcterms:W3CDTF">2026-03-29T22:47:33.211Z</dcterms:modified>
</cp:coreProperties>
</file>

<file path=docProps/custom.xml><?xml version="1.0" encoding="utf-8"?>
<Properties xmlns="http://schemas.openxmlformats.org/officeDocument/2006/custom-properties" xmlns:vt="http://schemas.openxmlformats.org/officeDocument/2006/docPropsVTypes"/>
</file>