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2E7D6B"/>
          <w:sz w:val="24"/>
          <w:szCs w:val="24"/>
        </w:rPr>
        <w:t xml:space="preserve">COMP3850 PACE  ·  Group 74</w:t>
      </w:r>
    </w:p>
    <w:p>
      <w:pPr>
        <w:spacing w:after="40"/>
        <w:jc w:val="center"/>
      </w:pPr>
      <w:r>
        <w:rPr>
          <w:b/>
          <w:bCs/>
          <w:color w:val="1F3A5F"/>
          <w:sz w:val="44"/>
          <w:szCs w:val="44"/>
        </w:rPr>
        <w:t xml:space="preserve">Prototype / Final Results Document</w:t>
      </w:r>
    </w:p>
    <w:p>
      <w:pPr>
        <w:spacing w:after="30"/>
        <w:jc w:val="center"/>
      </w:pPr>
      <w:r>
        <w:rPr>
          <w:color w:val="55606E"/>
          <w:sz w:val="24"/>
          <w:szCs w:val="24"/>
        </w:rPr>
        <w:t xml:space="preserve">Deliverable 4  ·  24 October 2026</w:t>
      </w:r>
    </w:p>
    <w:p>
      <w:pPr>
        <w:spacing w:after="30"/>
        <w:jc w:val="center"/>
      </w:pPr>
      <w:r>
        <w:rPr>
          <w:i/>
          <w:iCs/>
          <w:color w:val="55606E"/>
          <w:sz w:val="20"/>
          <w:szCs w:val="20"/>
        </w:rPr>
        <w:t xml:space="preserve">Robust Privacy-Preserving Record Linkage Models (Defensive Project)</w:t>
      </w:r>
    </w:p>
    <w:p>
      <w:pPr>
        <w:spacing w:after="400" w:before="30"/>
        <w:jc w:val="center"/>
      </w:pPr>
      <w:r>
        <w:rPr>
          <w:color w:val="55606E"/>
          <w:sz w:val="18"/>
          <w:szCs w:val="18"/>
        </w:rPr>
        <w:t xml:space="preserve">Sponsor: Macquarie University School of Computing (Dr Dinusha Vatsalan, Piyumi Seneviratne)</w:t>
      </w:r>
    </w:p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Revision History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400"/>
        <w:gridCol w:w="1500"/>
        <w:gridCol w:w="2360"/>
        <w:gridCol w:w="4100"/>
      </w:tblGrid>
      <w:tr>
        <w:trPr>
          <w:tblHeader/>
        </w:trPr>
        <w:tc>
          <w:tcPr>
            <w:tcW w:type="dxa" w:w="1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Author(s)</w:t>
            </w:r>
          </w:p>
        </w:tc>
        <w:tc>
          <w:tcPr>
            <w:tcW w:type="dxa" w:w="41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01/10/2026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[member]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D3: prototype with two models (LR, RF) on structured data.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4.0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24/10/2026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[member]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D4: added SVM and XGBoost (all five models compared); implemented the counting-Bloom-filter text encoder and evaluated models on the hospital text dataset; added the final comparison and recommendation.</w:t>
            </w:r>
          </w:p>
        </w:tc>
      </w:tr>
    </w:tbl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1. Summary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This document presents the final results of Group 74's defensive Privacy-Preserving Record Linkage (PPRL) project. All four required linkage models (Logistic Regression, Random Forest, SVM and XGBoost) have been implemented and compared against the supplied threshold-based baseline on the structured Alice/Bob datasets, across a full range of privacy settings. The counting-Bloom-filter text encoder has been implemented and at least two models evaluated on the unstructured hospital dataset, satisfying the final requirement. The headline finding from the MVP holds and strengthens: learned linkage models substantially outperform the fixed-threshold baseline under strong privacy noise, and Logistic Regression and linear SVM are the most robust and efficient choices.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2. Models and Method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sponsor-supplied pipeline (read → block → Bloom-filter encode → differential-privacy noise → match) is reused unchanged; the team's work is confined to the matching-and-linkage step and, for D4, the text-encoding step. Each record pair is represented from the two differential-privacy-perturbed Bloom filters using the element-wise AND and XOR of their bit vectors (for the counting filters used on text, the element-wise minimum and absolute difference). Models are trained on labelled pairs using the ground-truth entity identifier for labels only, with entity-level cross-validation so that no individual appears in both training and test.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1"/>
          <w:szCs w:val="21"/>
        </w:rPr>
        <w:t xml:space="preserve">Logistic Regression and linear SVM: </w:t>
      </w:r>
      <w:r>
        <w:rPr>
          <w:sz w:val="21"/>
          <w:szCs w:val="21"/>
        </w:rPr>
        <w:t xml:space="preserve">linear classifiers that learn a single decision boundary; simple, fast and robust.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1"/>
          <w:szCs w:val="21"/>
        </w:rPr>
        <w:t xml:space="preserve">Random Forest and XGBoost: </w:t>
      </w:r>
      <w:r>
        <w:rPr>
          <w:sz w:val="21"/>
          <w:szCs w:val="21"/>
        </w:rPr>
        <w:t xml:space="preserve">tree ensembles that capture non-linear structure; stronger at low noise, more fragile under heavy perturbation.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3. Results on Structured Data (Alice/Bob)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Figure 1 shows how all five models and the baseline behave as privacy noise increases (ε decreasing). The supplied fixed-0.8 threshold collapses at ε = 5; every learned model and the tuned threshold remain strong far longer. Logistic Regression and SVM are the best, holding ≈ 0.94 F1 down to ε = 3.</w:t>
      </w:r>
    </w:p>
    <w:p>
      <w:pPr>
        <w:spacing w:after="20" w:before="80"/>
        <w:jc w:val="center"/>
      </w:pPr>
      <w:r>
        <w:drawing>
          <wp:inline distT="0" distB="0" distL="0" distR="0">
            <wp:extent cx="52863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Figure 1. F1 vs privacy budget ε for all five models and both baselines (500 records, 50% corruption).</w:t>
      </w:r>
    </w:p>
    <w:tbl>
      <w:tblPr>
        <w:tblW w:type="dxa" w:w="8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360"/>
        <w:gridCol w:w="1120"/>
        <w:gridCol w:w="1240"/>
        <w:gridCol w:w="1280"/>
        <w:gridCol w:w="1120"/>
        <w:gridCol w:w="1120"/>
        <w:gridCol w:w="1120"/>
      </w:tblGrid>
      <w:tr>
        <w:trPr>
          <w:tblHeader/>
        </w:trPr>
        <w:tc>
          <w:tcPr>
            <w:tcW w:type="dxa" w:w="136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ε</w:t>
            </w:r>
          </w:p>
        </w:tc>
        <w:tc>
          <w:tcPr>
            <w:tcW w:type="dxa" w:w="11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 0.8</w:t>
            </w:r>
          </w:p>
        </w:tc>
        <w:tc>
          <w:tcPr>
            <w:tcW w:type="dxa" w:w="124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 tuned</w:t>
            </w:r>
          </w:p>
        </w:tc>
        <w:tc>
          <w:tcPr>
            <w:tcW w:type="dxa" w:w="12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LR</w:t>
            </w:r>
          </w:p>
        </w:tc>
        <w:tc>
          <w:tcPr>
            <w:tcW w:type="dxa" w:w="11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11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SVM</w:t>
            </w:r>
          </w:p>
        </w:tc>
        <w:tc>
          <w:tcPr>
            <w:tcW w:type="dxa" w:w="11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XGB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∞ (no noise)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0.935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0.872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0.949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0.934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0.907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0.939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0.889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0.949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0.934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0.709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0.947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0.890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0.948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0.927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0.941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0.946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0.900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0.931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0.939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0.054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0.930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0.859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0.914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0.937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0.891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0.639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0.778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0.760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0.658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0.147</w:t>
            </w:r>
          </w:p>
        </w:tc>
      </w:tr>
      <w:tr>
        <w:tc>
          <w:tcPr>
            <w:tcW w:type="dxa" w:w="136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0.606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0.265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C44536"/>
                <w:sz w:val="19"/>
                <w:szCs w:val="19"/>
              </w:rPr>
              <w:t xml:space="preserve">0.000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0.267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0.016</w:t>
            </w:r>
          </w:p>
        </w:tc>
      </w:tr>
    </w:tbl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Table 1. F1 at 500 records, 50% corruption. Best per row in green; 0.000 marks total failure of the fixed-threshold baseline.</w:t>
      </w:r>
    </w:p>
    <w:p>
      <w:pPr>
        <w:spacing w:after="20" w:before="80"/>
        <w:jc w:val="center"/>
      </w:pPr>
      <w:r>
        <w:drawing>
          <wp:inline distT="0" distB="0" distL="0" distR="0">
            <wp:extent cx="52863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Figure 2. The same comparison at 100 records.</w:t>
      </w:r>
    </w:p>
    <w:p>
      <w:pPr>
        <w:spacing w:after="20" w:before="80"/>
        <w:jc w:val="center"/>
      </w:pPr>
      <w:r>
        <w:drawing>
          <wp:inline distT="0" distB="0" distL="0" distR="0">
            <wp:extent cx="52863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Figure 3. F1 vs data corruption level at ε = 7 (500 records).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4. Computational Efficiency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Runtime is measured inside the code (not across notebook cells). At 500 records all models are inexpensive; the linear models are markedly faster than the tree ensembles.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1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 + predict time (500 rec, 5 folds)</w:t>
            </w:r>
          </w:p>
        </w:tc>
        <w:tc>
          <w:tcPr>
            <w:tcW w:type="dxa" w:w="31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Robustness under strong noise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1.25 s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Best — holds ≈ 0.94 F1 down to ε = 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SVM (linear)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0.24 s (fastest)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Strong — close to LR to ε = 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3.19 s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Good at weak privacy; fades below ε = 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3.15 s</w:t>
            </w:r>
          </w:p>
        </w:tc>
        <w:tc>
          <w:tcPr>
            <w:tcW w:type="dxa" w:w="3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Weakest — breaks by ε = 4</w:t>
            </w:r>
          </w:p>
        </w:tc>
      </w:tr>
    </w:tbl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Table 2. Efficiency and robustness summary (structured data, 500 records).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5. Effect of the Number of Hash Functions (k)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Carried forward from the MVP and confirmed: increasing k raises the Bloom-filter false-positive rate (stronger collision-based privacy) quickly toward 1.0 while linkage quality stays flat, so k = 10 remains a well-justified default.</w:t>
      </w:r>
    </w:p>
    <w:p>
      <w:pPr>
        <w:spacing w:after="20" w:before="80"/>
        <w:jc w:val="center"/>
      </w:pPr>
      <w:r>
        <w:drawing>
          <wp:inline distT="0" distB="0" distL="0" distR="0">
            <wp:extent cx="52863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Figure 4. Effect of the number of hash functions k on F1 and the Bloom-filter false-positive rate (ε = 7, 500 records).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6. Results on Text Data (Counting Bloom Filters)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For the unstructured hospital dataset, a counting-Bloom-filter encoder was implemented following the sponsor specification: each clinical note is tokenised (stop-words removed, the trailing age/sex metadata stripped), a bag-of-words with term-frequency counts is formed, and each token increments k counters. Similarity uses the min-sum Dice coefficient. Differential privacy is applied with the Laplace mechanism (scale 2k/ε) on the counters. Models were trained and tested on a balanced sample (8,000 training and 4,000 test pairs).</w:t>
      </w:r>
    </w:p>
    <w:p>
      <w:pPr>
        <w:spacing w:after="20" w:before="80"/>
        <w:jc w:val="center"/>
      </w:pPr>
      <w:r>
        <w:drawing>
          <wp:inline distT="0" distB="0" distL="0" distR="0">
            <wp:extent cx="52863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Figure 5. Text-data F1 by privacy budget: tuned threshold vs Logistic Regression vs SVM.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600"/>
        <w:gridCol w:w="2520"/>
        <w:gridCol w:w="2620"/>
        <w:gridCol w:w="2620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ε</w:t>
            </w:r>
          </w:p>
        </w:tc>
        <w:tc>
          <w:tcPr>
            <w:tcW w:type="dxa" w:w="25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Threshold (tuned)</w:t>
            </w:r>
          </w:p>
        </w:tc>
        <w:tc>
          <w:tcPr>
            <w:tcW w:type="dxa" w:w="26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62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SVM (linear)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∞ (no noise)</w:t>
            </w:r>
          </w:p>
        </w:tc>
        <w:tc>
          <w:tcPr>
            <w:tcW w:type="dxa" w:w="2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0.677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0.882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0.854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0.663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0.754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0.739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0.663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D6B"/>
                <w:sz w:val="19"/>
                <w:szCs w:val="19"/>
              </w:rPr>
              <w:t xml:space="preserve">0.704</w:t>
            </w:r>
          </w:p>
        </w:tc>
        <w:tc>
          <w:tcPr>
            <w:tcW w:type="dxa" w:w="2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0.685</w:t>
            </w:r>
          </w:p>
        </w:tc>
      </w:tr>
    </w:tbl>
    <w:p>
      <w:pPr>
        <w:spacing w:after="160" w:before="60"/>
        <w:jc w:val="center"/>
      </w:pPr>
      <w:r>
        <w:rPr>
          <w:i/>
          <w:iCs/>
          <w:color w:val="55606E"/>
          <w:sz w:val="18"/>
          <w:szCs w:val="18"/>
        </w:rPr>
        <w:t xml:space="preserve">Table 3. F1 on the hospital text data (counting Bloom filter, 1000 counters, k = 10).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Interpretation. </w:t>
      </w:r>
      <w:r>
        <w:rPr>
          <w:sz w:val="21"/>
          <w:szCs w:val="21"/>
        </w:rPr>
        <w:t xml:space="preserve">On text the learned models beat the min-sum-Dice threshold by a wide margin (e.g. 0.88 vs 0.68 with no noise). The threshold is weak here because long clinical notes share a large common medical vocabulary, so a frequency-overlap score separates matches from non-matches poorly; the models instead learn which counter patterns are discriminative. A second observation is that a 1000-counter filter is very lossy for a vocabulary of ~68,000 tokens (heavy collisions), which caps absolute quality — a longer filter would be the first thing to try for text in future work.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7. Discussion and Recommendation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sz w:val="21"/>
          <w:szCs w:val="21"/>
        </w:rPr>
        <w:t xml:space="preserve">Recommended model: Logistic Regression. </w:t>
      </w:r>
      <w:r>
        <w:rPr>
          <w:sz w:val="21"/>
          <w:szCs w:val="21"/>
        </w:rPr>
        <w:t xml:space="preserve">It is the best or equal-best on both structured and text data, is robust down to strong privacy (ε = 3), and is cheap to train. Linear SVM is an almost-equivalent, even faster alternative.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The baseline's failure is a threshold problem, not a data problem — </w:t>
      </w:r>
      <w:r>
        <w:rPr>
          <w:sz w:val="21"/>
          <w:szCs w:val="21"/>
        </w:rPr>
        <w:t xml:space="preserve">a learned or tuned cut-off recovers the quality the fixed 0.8 threshold loses under noise.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Tree ensembles (RF, XGBoost) are not recommended here: </w:t>
      </w:r>
      <w:r>
        <w:rPr>
          <w:sz w:val="21"/>
          <w:szCs w:val="21"/>
        </w:rPr>
        <w:t xml:space="preserve">they are strong only at weak privacy and degrade sharply once the noise is high.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Privacy is identical across models at a given setting </w:t>
      </w:r>
      <w:r>
        <w:rPr>
          <w:sz w:val="21"/>
          <w:szCs w:val="21"/>
        </w:rPr>
        <w:t xml:space="preserve">(they all read the same perturbed filters); privacy is therefore reported as a curve over ε, filter length and k, not per model.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8. 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Evaluation is restricted to candidate pairs surviving blocking, so absolute precision is optimistic; results are used to compare models against each other.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The text evaluation uses a balanced sample and a 1000-counter filter; scaling the filter length and the sample would likely raise absolute text F1.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Notes repeat across the train/test split in the supplied text data, which can flatter ML models; a note-disjoint split is suggested for future validation.</w:t>
      </w:r>
    </w:p>
    <w:p>
      <w:pPr>
        <w:pStyle w:val="Heading1"/>
        <w:spacing w:after="110" w:before="220"/>
      </w:pPr>
      <w:r>
        <w:rPr>
          <w:b/>
          <w:bCs/>
          <w:color w:val="1F3A5F"/>
        </w:rPr>
        <w:t xml:space="preserve">9. Sponsor Feedback (D3 → D4)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Sponsor feedback (prototype demo)</w:t>
            </w:r>
          </w:p>
        </w:tc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 taken for D4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Add plots and graphs.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All results are presented as figures (Figures 1–5) with supporting tables.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Justify k and explain training.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k justified by the sweep in Section 5; training method documented in Section 2 (entity-level cross-validation).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Complete the model set and the text work.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9"/>
                <w:szCs w:val="19"/>
              </w:rPr>
              <w:t xml:space="preserve">SVM and XGBoost added (five-model comparison); counting-Bloom-filter text encoder implemented and evaluated (Section 6).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C44536"/>
          <w:sz w:val="21"/>
          <w:szCs w:val="21"/>
        </w:rPr>
        <w:t xml:space="preserve">[Team to add the D4 sponsor-demo date and any further feedback.]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06E"/>
        <w:sz w:val="16"/>
        <w:szCs w:val="16"/>
      </w:rPr>
      <w:t xml:space="preserve">Page </w:t>
    </w:r>
    <w:r>
      <w:rPr>
        <w:color w:val="5560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606E"/>
        <w:sz w:val="16"/>
        <w:szCs w:val="16"/>
      </w:rPr>
      <w:t xml:space="preserve"> of </w:t>
    </w:r>
    <w:r>
      <w:rPr>
        <w:color w:val="5560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606E"/>
        <w:sz w:val="16"/>
        <w:szCs w:val="16"/>
      </w:rPr>
      <w:t xml:space="preserve">Prototype / Final Results — D4  ·  Group 74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7f9e8f737e2137524bf866e868d70c56fccb4e.png"/><Relationship Id="rId10" Type="http://schemas.openxmlformats.org/officeDocument/2006/relationships/image" Target="media/4b9f3d4293c75808349e2ad5cc889844066f70cf.png"/><Relationship Id="rId11" Type="http://schemas.openxmlformats.org/officeDocument/2006/relationships/image" Target="media/10f65f7b66479ecda1134b51d4d46c2052bb2012.png"/><Relationship Id="rId12" Type="http://schemas.openxmlformats.org/officeDocument/2006/relationships/image" Target="media/bd0877c9325b7dfaf4bf43e0c4438649e9611c94.png"/><Relationship Id="rId13" Type="http://schemas.openxmlformats.org/officeDocument/2006/relationships/image" Target="media/bb5b46b87d205f9728234078d961fa28e82287d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and Final Results - Group 74 - D4</dc:title>
  <dc:creator>COMP3850 Group 74</dc:creator>
  <cp:lastModifiedBy>Un-named</cp:lastModifiedBy>
  <cp:revision>1</cp:revision>
  <dcterms:created xsi:type="dcterms:W3CDTF">2026-10-23T04:33:58.398Z</dcterms:created>
  <dcterms:modified xsi:type="dcterms:W3CDTF">2026-10-23T04:33:58.590Z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