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13E0C" w14:textId="3B8F0B0E" w:rsidR="005A5023" w:rsidRPr="005A5023" w:rsidRDefault="005A5023" w:rsidP="005A5023">
      <w:pPr>
        <w:jc w:val="center"/>
        <w:rPr>
          <w:b/>
          <w:bCs/>
          <w:u w:val="single"/>
        </w:rPr>
      </w:pPr>
      <w:r w:rsidRPr="005A5023">
        <w:rPr>
          <w:b/>
          <w:bCs/>
          <w:u w:val="single"/>
        </w:rPr>
        <w:t>The Case of Jesse Gelsinger: Ethical Implications in Gene Therapy Research</w:t>
      </w:r>
    </w:p>
    <w:p w14:paraId="7AFBB16C" w14:textId="7E59E4FA" w:rsidR="005A5023" w:rsidRPr="005A5023" w:rsidRDefault="005A5023" w:rsidP="005A5023">
      <w:pPr>
        <w:rPr>
          <w:u w:val="single"/>
        </w:rPr>
      </w:pPr>
      <w:r w:rsidRPr="005A5023">
        <w:rPr>
          <w:u w:val="single"/>
        </w:rPr>
        <w:t>Introduction</w:t>
      </w:r>
      <w:r w:rsidRPr="005A5023">
        <w:rPr>
          <w:u w:val="single"/>
        </w:rPr>
        <w:t>:</w:t>
      </w:r>
    </w:p>
    <w:p w14:paraId="3636D1E4" w14:textId="3F329293" w:rsidR="005A5023" w:rsidRDefault="005A5023" w:rsidP="005A5023">
      <w:r>
        <w:t xml:space="preserve">In 1999, the death of Jesse Gelsinger during a gene therapy clinical trial at the University of Pennsylvania marked a turning point in the public and academic understanding of the ethics of human biomedical experimentation. Gelsinger, an 18-year-old who </w:t>
      </w:r>
      <w:r>
        <w:t xml:space="preserve">had been </w:t>
      </w:r>
      <w:r>
        <w:t>suffer</w:t>
      </w:r>
      <w:r>
        <w:t>ing</w:t>
      </w:r>
      <w:r>
        <w:t xml:space="preserve"> from a mild form of </w:t>
      </w:r>
      <w:r>
        <w:t xml:space="preserve">a genetic disorder known as </w:t>
      </w:r>
      <w:r>
        <w:t xml:space="preserve">ornithine transcarbamylase deficiency (OTCD), died four days after receiving an experimental gene therapy. The case raised significant ethical questions about informed consent, risk disclosure, conflicts of interest, and the responsibilities of researchers. </w:t>
      </w:r>
      <w:r w:rsidRPr="005A5023">
        <w:rPr>
          <w:color w:val="000000"/>
        </w:rPr>
        <w:t>In order to evaluate the moral failings in Gelsinger's case and investigate how future clinical trials can better protect participants' rights and welfare, this case study employs three ethical frameworks: virtue ethics, deontological ethics, and principled ethics</w:t>
      </w:r>
      <w:r>
        <w:rPr>
          <w:rFonts w:ascii="-webkit-standard" w:hAnsi="-webkit-standard"/>
          <w:color w:val="000000"/>
          <w:sz w:val="27"/>
          <w:szCs w:val="27"/>
        </w:rPr>
        <w:t>.</w:t>
      </w:r>
    </w:p>
    <w:p w14:paraId="69EE4F8C" w14:textId="1E2E9D50" w:rsidR="005A5023" w:rsidRPr="005A5023" w:rsidRDefault="005A5023" w:rsidP="005A5023">
      <w:pPr>
        <w:rPr>
          <w:u w:val="single"/>
        </w:rPr>
      </w:pPr>
      <w:r w:rsidRPr="005A5023">
        <w:rPr>
          <w:u w:val="single"/>
        </w:rPr>
        <w:t>Background and Context</w:t>
      </w:r>
      <w:r w:rsidRPr="005A5023">
        <w:rPr>
          <w:u w:val="single"/>
        </w:rPr>
        <w:t>:</w:t>
      </w:r>
    </w:p>
    <w:p w14:paraId="0C274F5F" w14:textId="18C8FDCD" w:rsidR="005A5023" w:rsidRDefault="005A5023" w:rsidP="005A5023">
      <w:r>
        <w:t xml:space="preserve">Jesse Gelsinger was not the ideal candidate for the clinical trial he entered. While the gene therapy trial targeted individuals with severe forms of OTCD, Gelsinger's condition was relatively mild and well-managed with medication and a restricted diet. He volunteered for the study to help others, fully aware that the experiment would not benefit him personally. The gene therapy involved injecting an adenovirus vector carrying a corrected gene into </w:t>
      </w:r>
      <w:r w:rsidR="00F060A1">
        <w:t xml:space="preserve">his </w:t>
      </w:r>
      <w:r>
        <w:t xml:space="preserve"> bloodstream. Unfortunately, Gelsinger experienced a massive immune response, multiple organ failure, and brain death.</w:t>
      </w:r>
    </w:p>
    <w:p w14:paraId="5BC91DEA" w14:textId="1A5118E5" w:rsidR="00F060A1" w:rsidRDefault="00F060A1" w:rsidP="005A5023">
      <w:pPr>
        <w:rPr>
          <w:color w:val="000000"/>
        </w:rPr>
      </w:pPr>
      <w:r w:rsidRPr="00F060A1">
        <w:rPr>
          <w:color w:val="000000"/>
        </w:rPr>
        <w:t xml:space="preserve">Unsettling information was uncovered during postmortem examinations. Researchers had neglected to notify the Food and Drug Administration (FDA) of significant adverse effects in previous </w:t>
      </w:r>
      <w:r>
        <w:rPr>
          <w:color w:val="000000"/>
        </w:rPr>
        <w:t>trial</w:t>
      </w:r>
      <w:r w:rsidRPr="00F060A1">
        <w:rPr>
          <w:color w:val="000000"/>
        </w:rPr>
        <w:t xml:space="preserve"> participants. Concerns regarding conflicts of interest were also raised by the fact that Dr James Wilson, the </w:t>
      </w:r>
      <w:r>
        <w:rPr>
          <w:color w:val="000000"/>
        </w:rPr>
        <w:t>lead</w:t>
      </w:r>
      <w:r w:rsidRPr="00F060A1">
        <w:rPr>
          <w:color w:val="000000"/>
        </w:rPr>
        <w:t xml:space="preserve"> investigator, had financial connections to the biotech business that funded the trial. The foundation for an ethical reckoning in biomedical research was laid by these transgressions of ethical judgement and procedural conformity.</w:t>
      </w:r>
    </w:p>
    <w:p w14:paraId="0FDE6068" w14:textId="3BE503A1" w:rsidR="005A5023" w:rsidRPr="00F060A1" w:rsidRDefault="005A5023" w:rsidP="005A5023">
      <w:pPr>
        <w:rPr>
          <w:u w:val="single"/>
        </w:rPr>
      </w:pPr>
      <w:r w:rsidRPr="00F060A1">
        <w:rPr>
          <w:u w:val="single"/>
        </w:rPr>
        <w:t>Principlism</w:t>
      </w:r>
    </w:p>
    <w:p w14:paraId="6F021237" w14:textId="77777777" w:rsidR="00F060A1" w:rsidRDefault="005A5023" w:rsidP="005A5023">
      <w:r>
        <w:t>Principlism, developed by Beauchamp and Childress, is grounded in four primary ethical principles: autonomy, beneficence, non-maleficence, and justice. In Gelsinger's case, autonomy was compromised. While Jesse provided informed consent, it is questionable whether that consent was truly informed, given that the risks were downplayed and adverse events in prior participants were not disclosed.</w:t>
      </w:r>
    </w:p>
    <w:p w14:paraId="23E0654D" w14:textId="01A9ED52" w:rsidR="005A5023" w:rsidRDefault="005A5023" w:rsidP="005A5023">
      <w:r>
        <w:t xml:space="preserve">Beneficence and non-maleficence were also violated. Researchers aimed to advance gene therapy, a noble goal, but the trial posed excessive risk for minimal direct benefit, particularly for a participant like Gelsinger who had a manageable form of OTCD. The principle of justice, which demands fairness in the distribution of risks and benefits, </w:t>
      </w:r>
      <w:r>
        <w:lastRenderedPageBreak/>
        <w:t>was further undermined by selecting a relatively healthy volunteer for a high-risk procedure intended for more critically ill patients.</w:t>
      </w:r>
    </w:p>
    <w:p w14:paraId="40F632B2" w14:textId="661CDEF4" w:rsidR="005A5023" w:rsidRPr="005A5023" w:rsidRDefault="005A5023" w:rsidP="005A5023">
      <w:pPr>
        <w:rPr>
          <w:u w:val="single"/>
        </w:rPr>
      </w:pPr>
      <w:r w:rsidRPr="005A5023">
        <w:rPr>
          <w:u w:val="single"/>
        </w:rPr>
        <w:t>Deontological Ethics</w:t>
      </w:r>
    </w:p>
    <w:p w14:paraId="65ABB828" w14:textId="09D30DBD" w:rsidR="005A5023" w:rsidRDefault="005A5023" w:rsidP="005A5023">
      <w:r>
        <w:t>From a deontological standpoint, actions are judged not by their consequences but by whether they adhere to moral rules and duties. Kantian ethics would assert that all human beings must be treated as ends in themselves, not as means to an end. By enrolling Jesse in a trial primarily for the advancement of scientific knowledge—while withholding full information—the research team arguably treated him as a means to a scientific goal.</w:t>
      </w:r>
    </w:p>
    <w:p w14:paraId="24F60167" w14:textId="75DCB11D" w:rsidR="005A5023" w:rsidRDefault="005A5023" w:rsidP="005A5023">
      <w:r>
        <w:t>A deontologist would critici</w:t>
      </w:r>
      <w:r w:rsidR="00F060A1">
        <w:t>s</w:t>
      </w:r>
      <w:r>
        <w:t>e the failure to report adverse outcomes and the lack of transparency. These omissions represent clear violations of moral duty. The rules governing clinical trials are designed to protect participants, and any breach of those rules is unethical regardless of the outcome. Furthermore, Dr Wilson's financial interests constitute a direct conflict with his moral duty to prioritize patient welfare over personal or corporate gain.</w:t>
      </w:r>
    </w:p>
    <w:p w14:paraId="073724C2" w14:textId="3434BBFE" w:rsidR="005A5023" w:rsidRPr="005A5023" w:rsidRDefault="005A5023" w:rsidP="005A5023">
      <w:pPr>
        <w:rPr>
          <w:u w:val="single"/>
        </w:rPr>
      </w:pPr>
      <w:r w:rsidRPr="005A5023">
        <w:rPr>
          <w:u w:val="single"/>
        </w:rPr>
        <w:t>Virtue Ethics</w:t>
      </w:r>
    </w:p>
    <w:p w14:paraId="6B49D6FB" w14:textId="519A05A4" w:rsidR="005A5023" w:rsidRDefault="005A5023" w:rsidP="005A5023">
      <w:r>
        <w:t>Virtue ethics shifts the focus from rules and outcomes to the character and intentions of the individuals involved. This approach would scrutinize the researchers' virtues—or lack thereof—such as honesty, integrity, and prudence. Dr</w:t>
      </w:r>
      <w:r>
        <w:t xml:space="preserve"> </w:t>
      </w:r>
      <w:r>
        <w:t>Wilson's failure to fully disc</w:t>
      </w:r>
      <w:r>
        <w:t>l</w:t>
      </w:r>
      <w:r>
        <w:t>ose risks and his financial entanglements suggest a deficiency in these virtues.</w:t>
      </w:r>
    </w:p>
    <w:p w14:paraId="0D3141E5" w14:textId="09CA11CE" w:rsidR="005A5023" w:rsidRPr="005A5023" w:rsidRDefault="005A5023" w:rsidP="005A5023">
      <w:r>
        <w:t>Moreover, virtue ethics emphasizes moral wisdom and humility, especially in dealing with vulnerable populations like clinical trial participants. A researcher guided by these virtues would prioritize patient welfare, acknowledge the experimental nature of the therapy, and ensure full transparency about the risks. In this light, the actions of the research team reflect not only systemic failures but also personal moral shortcomings.</w:t>
      </w:r>
    </w:p>
    <w:p w14:paraId="0805AC66" w14:textId="61798006" w:rsidR="005A5023" w:rsidRPr="005A5023" w:rsidRDefault="005A5023" w:rsidP="005A5023">
      <w:pPr>
        <w:rPr>
          <w:u w:val="single"/>
        </w:rPr>
      </w:pPr>
      <w:r w:rsidRPr="005A5023">
        <w:rPr>
          <w:u w:val="single"/>
        </w:rPr>
        <w:t>Critique of Frameworks</w:t>
      </w:r>
    </w:p>
    <w:p w14:paraId="6A5A15BB" w14:textId="15A30C1D" w:rsidR="005A5023" w:rsidRDefault="005A5023" w:rsidP="005A5023">
      <w:r>
        <w:t xml:space="preserve">Each ethical framework offers valuable insights, but none is sufficient on its own. Principlism provides a structured approach, yet it may oversimplify complex situations by treating principles as if they can be easily balanced. In practice, determining whether beneficence outweighs the violation of autonomy is deeply </w:t>
      </w:r>
      <w:r>
        <w:t>subjective. Deontological</w:t>
      </w:r>
      <w:r>
        <w:t xml:space="preserve"> ethics offers strong protection for individual rights but can be rigid. It does not allow for exceptions, even when breaking a rule might prevent greater harm. In contrast, virtue ethics brings nuance to moral analysis but lacks clear guidelines for action. It assumes a level of moral development that may not always exist, particularly in high-pressure environments influenced by funding and career </w:t>
      </w:r>
      <w:r w:rsidR="00FC4DBA">
        <w:t>incentives. A</w:t>
      </w:r>
      <w:r>
        <w:t xml:space="preserve"> more holistic ethical approach may require combining these frameworks. For instance, ensuring informed consent (deontology), maximizing benefit and minimizing harm (principlism), and </w:t>
      </w:r>
      <w:r>
        <w:lastRenderedPageBreak/>
        <w:t>fostering integrity and compassion in researchers (virtue ethics) can collectively build a more ethically robust research environment.</w:t>
      </w:r>
    </w:p>
    <w:p w14:paraId="3CD97E3B" w14:textId="171EADE5" w:rsidR="005A5023" w:rsidRPr="005A5023" w:rsidRDefault="005A5023" w:rsidP="005A5023">
      <w:pPr>
        <w:rPr>
          <w:u w:val="single"/>
        </w:rPr>
      </w:pPr>
      <w:r w:rsidRPr="005A5023">
        <w:rPr>
          <w:u w:val="single"/>
        </w:rPr>
        <w:t>Lessons Learned and Moving Forward</w:t>
      </w:r>
    </w:p>
    <w:p w14:paraId="3D295528" w14:textId="0DF2E91B" w:rsidR="005A5023" w:rsidRDefault="005A5023" w:rsidP="005A5023">
      <w:r>
        <w:t xml:space="preserve">The Gelsinger case profoundly impacted how clinical research is conducted. In the aftermath, regulatory bodies tightened oversight, and institutional review boards (IRBs) became more vigilant. The case also spurred greater public awareness about the ethical dimensions of clinical </w:t>
      </w:r>
      <w:r>
        <w:t>trials. Future</w:t>
      </w:r>
      <w:r>
        <w:t xml:space="preserve"> research must adhere to rigorous ethical standards that prioritize participant welfare over scientific ambition or financial gain. Full disclosure of risks, transparent data reporting, and the elimination of conflicts of interest are essential. Researchers must cultivate ethical reflexivity, regularly questioning not only what they can do, but what they should do.</w:t>
      </w:r>
    </w:p>
    <w:p w14:paraId="27B8D40C" w14:textId="7D51C2CD" w:rsidR="005A5023" w:rsidRDefault="005A5023" w:rsidP="005A5023">
      <w:r>
        <w:t>Importantly, institutions must support a culture of ethical accountability. Training in bioethics should be mandatory, and whistleblower protections should be strengthened to encourage the reporting of ethical violations. These steps can help ensure that no future participant suffers as Jesse Gelsinger did.</w:t>
      </w:r>
    </w:p>
    <w:p w14:paraId="67D09032" w14:textId="7CBA8AA5" w:rsidR="005A5023" w:rsidRPr="005A5023" w:rsidRDefault="005A5023" w:rsidP="005A5023">
      <w:pPr>
        <w:rPr>
          <w:u w:val="single"/>
        </w:rPr>
      </w:pPr>
      <w:r w:rsidRPr="005A5023">
        <w:rPr>
          <w:u w:val="single"/>
        </w:rPr>
        <w:t>Conclusion</w:t>
      </w:r>
    </w:p>
    <w:p w14:paraId="66779EAB" w14:textId="2819B56C" w:rsidR="005A5023" w:rsidRDefault="005A5023" w:rsidP="005A5023">
      <w:r>
        <w:t xml:space="preserve">Jesse Gelsinger’s death was a tragedy that underscored the vital importance of ethics in clinical research. By </w:t>
      </w:r>
      <w:r>
        <w:t>analysing</w:t>
      </w:r>
      <w:r>
        <w:t xml:space="preserve"> his case through the lenses of principlism, deontology, and virtue ethics, we uncover critical failures in informed consent, risk management, and researcher conduct. While no framework is perfect, their combined application provides a powerful toolkit for ethical decision-making in biomedical innovation. Moving forward, the challenge lies in embedding these ethical principles deeply within the fabric of scientific research, ensuring that the pursuit of knowledge never overshadows the fundamental rights and dignity of research participants.</w:t>
      </w:r>
    </w:p>
    <w:p w14:paraId="699CBD2F" w14:textId="77777777" w:rsidR="005A5023" w:rsidRPr="005A5023" w:rsidRDefault="005A5023" w:rsidP="005A5023">
      <w:pPr>
        <w:pStyle w:val="NormalWeb"/>
        <w:rPr>
          <w:rFonts w:asciiTheme="minorHAnsi" w:hAnsiTheme="minorHAnsi"/>
          <w:b/>
          <w:bCs/>
          <w:color w:val="000000"/>
          <w:u w:val="single"/>
        </w:rPr>
      </w:pPr>
      <w:r w:rsidRPr="005A5023">
        <w:rPr>
          <w:rStyle w:val="Strong"/>
          <w:rFonts w:asciiTheme="minorHAnsi" w:eastAsiaTheme="majorEastAsia" w:hAnsiTheme="minorHAnsi"/>
          <w:b w:val="0"/>
          <w:bCs w:val="0"/>
          <w:color w:val="000000"/>
          <w:u w:val="single"/>
        </w:rPr>
        <w:t>References</w:t>
      </w:r>
    </w:p>
    <w:p w14:paraId="3D12A85D" w14:textId="77777777" w:rsidR="005A5023" w:rsidRPr="005A5023" w:rsidRDefault="005A5023" w:rsidP="005A5023">
      <w:pPr>
        <w:pStyle w:val="NormalWeb"/>
        <w:rPr>
          <w:rFonts w:asciiTheme="minorHAnsi" w:hAnsiTheme="minorHAnsi"/>
          <w:color w:val="000000"/>
        </w:rPr>
      </w:pPr>
      <w:r w:rsidRPr="005A5023">
        <w:rPr>
          <w:rFonts w:asciiTheme="minorHAnsi" w:hAnsiTheme="minorHAnsi"/>
          <w:color w:val="000000"/>
        </w:rPr>
        <w:t>Beauchamp, T. L., &amp; Childress, J. F. (2013).</w:t>
      </w:r>
      <w:r w:rsidRPr="005A5023">
        <w:rPr>
          <w:rStyle w:val="apple-converted-space"/>
          <w:rFonts w:asciiTheme="minorHAnsi" w:eastAsiaTheme="majorEastAsia" w:hAnsiTheme="minorHAnsi"/>
          <w:color w:val="000000"/>
        </w:rPr>
        <w:t> </w:t>
      </w:r>
      <w:r w:rsidRPr="005A5023">
        <w:rPr>
          <w:rStyle w:val="Emphasis"/>
          <w:rFonts w:asciiTheme="minorHAnsi" w:eastAsiaTheme="majorEastAsia" w:hAnsiTheme="minorHAnsi"/>
          <w:color w:val="000000"/>
        </w:rPr>
        <w:t>Principles of Biomedical Ethics</w:t>
      </w:r>
      <w:r w:rsidRPr="005A5023">
        <w:rPr>
          <w:rStyle w:val="apple-converted-space"/>
          <w:rFonts w:asciiTheme="minorHAnsi" w:eastAsiaTheme="majorEastAsia" w:hAnsiTheme="minorHAnsi"/>
          <w:color w:val="000000"/>
        </w:rPr>
        <w:t> </w:t>
      </w:r>
      <w:r w:rsidRPr="005A5023">
        <w:rPr>
          <w:rFonts w:asciiTheme="minorHAnsi" w:hAnsiTheme="minorHAnsi"/>
          <w:color w:val="000000"/>
        </w:rPr>
        <w:t>(7th ed.). Oxford University Press.</w:t>
      </w:r>
    </w:p>
    <w:p w14:paraId="0FD1CE08" w14:textId="77777777" w:rsidR="005A5023" w:rsidRPr="005A5023" w:rsidRDefault="005A5023" w:rsidP="005A5023">
      <w:pPr>
        <w:pStyle w:val="NormalWeb"/>
        <w:rPr>
          <w:rFonts w:asciiTheme="minorHAnsi" w:hAnsiTheme="minorHAnsi"/>
          <w:color w:val="000000"/>
        </w:rPr>
      </w:pPr>
      <w:r w:rsidRPr="005A5023">
        <w:rPr>
          <w:rFonts w:asciiTheme="minorHAnsi" w:hAnsiTheme="minorHAnsi"/>
          <w:color w:val="000000"/>
        </w:rPr>
        <w:t>Kimmelman, J. (2005).</w:t>
      </w:r>
      <w:r w:rsidRPr="005A5023">
        <w:rPr>
          <w:rStyle w:val="apple-converted-space"/>
          <w:rFonts w:asciiTheme="minorHAnsi" w:eastAsiaTheme="majorEastAsia" w:hAnsiTheme="minorHAnsi"/>
          <w:color w:val="000000"/>
        </w:rPr>
        <w:t> </w:t>
      </w:r>
      <w:r w:rsidRPr="005A5023">
        <w:rPr>
          <w:rStyle w:val="Emphasis"/>
          <w:rFonts w:asciiTheme="minorHAnsi" w:eastAsiaTheme="majorEastAsia" w:hAnsiTheme="minorHAnsi"/>
          <w:color w:val="000000"/>
        </w:rPr>
        <w:t>The ethics of human gene transfer</w:t>
      </w:r>
      <w:r w:rsidRPr="005A5023">
        <w:rPr>
          <w:rFonts w:asciiTheme="minorHAnsi" w:hAnsiTheme="minorHAnsi"/>
          <w:color w:val="000000"/>
        </w:rPr>
        <w:t>. Nature Reviews Genetics, 6(4), 286–292.</w:t>
      </w:r>
    </w:p>
    <w:p w14:paraId="7ED9BF00" w14:textId="77777777" w:rsidR="005A5023" w:rsidRPr="005A5023" w:rsidRDefault="005A5023" w:rsidP="005A5023">
      <w:pPr>
        <w:pStyle w:val="NormalWeb"/>
        <w:rPr>
          <w:rFonts w:asciiTheme="minorHAnsi" w:hAnsiTheme="minorHAnsi"/>
          <w:color w:val="000000"/>
        </w:rPr>
      </w:pPr>
      <w:r w:rsidRPr="005A5023">
        <w:rPr>
          <w:rFonts w:asciiTheme="minorHAnsi" w:hAnsiTheme="minorHAnsi"/>
          <w:color w:val="000000"/>
        </w:rPr>
        <w:t>NYU Langone Health. (n.d.).</w:t>
      </w:r>
      <w:r w:rsidRPr="005A5023">
        <w:rPr>
          <w:rStyle w:val="apple-converted-space"/>
          <w:rFonts w:asciiTheme="minorHAnsi" w:eastAsiaTheme="majorEastAsia" w:hAnsiTheme="minorHAnsi"/>
          <w:color w:val="000000"/>
        </w:rPr>
        <w:t> </w:t>
      </w:r>
      <w:r w:rsidRPr="005A5023">
        <w:rPr>
          <w:rStyle w:val="Emphasis"/>
          <w:rFonts w:asciiTheme="minorHAnsi" w:eastAsiaTheme="majorEastAsia" w:hAnsiTheme="minorHAnsi"/>
          <w:color w:val="000000"/>
        </w:rPr>
        <w:t>Gene Therapy Research &amp; the Case of Jesse Gelsinger</w:t>
      </w:r>
      <w:r w:rsidRPr="005A5023">
        <w:rPr>
          <w:rFonts w:asciiTheme="minorHAnsi" w:hAnsiTheme="minorHAnsi"/>
          <w:color w:val="000000"/>
        </w:rPr>
        <w:t>. Retrieved from</w:t>
      </w:r>
      <w:r w:rsidRPr="005A5023">
        <w:rPr>
          <w:rStyle w:val="apple-converted-space"/>
          <w:rFonts w:asciiTheme="minorHAnsi" w:eastAsiaTheme="majorEastAsia" w:hAnsiTheme="minorHAnsi"/>
          <w:color w:val="000000"/>
        </w:rPr>
        <w:t> </w:t>
      </w:r>
      <w:r w:rsidRPr="005A5023">
        <w:rPr>
          <w:rFonts w:asciiTheme="minorHAnsi" w:hAnsiTheme="minorHAnsi"/>
          <w:color w:val="000000"/>
        </w:rPr>
        <w:t>https://med.nyu.edu/departments-institutes/population-health/divisions-sections-centers/medical-ethics/education/high-school-bioethics-project/learning-scenarios/jesse-gelsinger-case</w:t>
      </w:r>
    </w:p>
    <w:p w14:paraId="028168C0" w14:textId="77777777" w:rsidR="005A5023" w:rsidRPr="005A5023" w:rsidRDefault="005A5023" w:rsidP="005A5023">
      <w:pPr>
        <w:pStyle w:val="NormalWeb"/>
        <w:rPr>
          <w:rFonts w:asciiTheme="minorHAnsi" w:hAnsiTheme="minorHAnsi"/>
          <w:color w:val="000000"/>
        </w:rPr>
      </w:pPr>
      <w:r w:rsidRPr="005A5023">
        <w:rPr>
          <w:rFonts w:asciiTheme="minorHAnsi" w:hAnsiTheme="minorHAnsi"/>
          <w:color w:val="000000"/>
        </w:rPr>
        <w:t>Wilson, R. F., &amp; Faden, R. R. (2001).</w:t>
      </w:r>
      <w:r w:rsidRPr="005A5023">
        <w:rPr>
          <w:rStyle w:val="apple-converted-space"/>
          <w:rFonts w:asciiTheme="minorHAnsi" w:eastAsiaTheme="majorEastAsia" w:hAnsiTheme="minorHAnsi"/>
          <w:color w:val="000000"/>
        </w:rPr>
        <w:t> </w:t>
      </w:r>
      <w:r w:rsidRPr="005A5023">
        <w:rPr>
          <w:rStyle w:val="Emphasis"/>
          <w:rFonts w:asciiTheme="minorHAnsi" w:eastAsiaTheme="majorEastAsia" w:hAnsiTheme="minorHAnsi"/>
          <w:color w:val="000000"/>
        </w:rPr>
        <w:t>The ethical challenges of first-in-human research: navigating the tensions</w:t>
      </w:r>
      <w:r w:rsidRPr="005A5023">
        <w:rPr>
          <w:rFonts w:asciiTheme="minorHAnsi" w:hAnsiTheme="minorHAnsi"/>
          <w:color w:val="000000"/>
        </w:rPr>
        <w:t>. The Hastings Center Report, 31(4), 30–40.</w:t>
      </w:r>
    </w:p>
    <w:p w14:paraId="4AE85162" w14:textId="77777777" w:rsidR="00286B0D" w:rsidRPr="005A5023" w:rsidRDefault="00286B0D"/>
    <w:sectPr w:rsidR="00286B0D" w:rsidRPr="005A50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023"/>
    <w:rsid w:val="00142E81"/>
    <w:rsid w:val="00286B0D"/>
    <w:rsid w:val="003F6318"/>
    <w:rsid w:val="005A5023"/>
    <w:rsid w:val="00661455"/>
    <w:rsid w:val="007745D0"/>
    <w:rsid w:val="00E47E86"/>
    <w:rsid w:val="00EB4732"/>
    <w:rsid w:val="00F060A1"/>
    <w:rsid w:val="00FC4D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3C9E160"/>
  <w15:chartTrackingRefBased/>
  <w15:docId w15:val="{74994B11-3DDF-9746-A561-B55F4530D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0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50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50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50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50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50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50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50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50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0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50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50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50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50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50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50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50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5023"/>
    <w:rPr>
      <w:rFonts w:eastAsiaTheme="majorEastAsia" w:cstheme="majorBidi"/>
      <w:color w:val="272727" w:themeColor="text1" w:themeTint="D8"/>
    </w:rPr>
  </w:style>
  <w:style w:type="paragraph" w:styleId="Title">
    <w:name w:val="Title"/>
    <w:basedOn w:val="Normal"/>
    <w:next w:val="Normal"/>
    <w:link w:val="TitleChar"/>
    <w:uiPriority w:val="10"/>
    <w:qFormat/>
    <w:rsid w:val="005A50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0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50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50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5023"/>
    <w:pPr>
      <w:spacing w:before="160"/>
      <w:jc w:val="center"/>
    </w:pPr>
    <w:rPr>
      <w:i/>
      <w:iCs/>
      <w:color w:val="404040" w:themeColor="text1" w:themeTint="BF"/>
    </w:rPr>
  </w:style>
  <w:style w:type="character" w:customStyle="1" w:styleId="QuoteChar">
    <w:name w:val="Quote Char"/>
    <w:basedOn w:val="DefaultParagraphFont"/>
    <w:link w:val="Quote"/>
    <w:uiPriority w:val="29"/>
    <w:rsid w:val="005A5023"/>
    <w:rPr>
      <w:i/>
      <w:iCs/>
      <w:color w:val="404040" w:themeColor="text1" w:themeTint="BF"/>
    </w:rPr>
  </w:style>
  <w:style w:type="paragraph" w:styleId="ListParagraph">
    <w:name w:val="List Paragraph"/>
    <w:basedOn w:val="Normal"/>
    <w:uiPriority w:val="34"/>
    <w:qFormat/>
    <w:rsid w:val="005A5023"/>
    <w:pPr>
      <w:ind w:left="720"/>
      <w:contextualSpacing/>
    </w:pPr>
  </w:style>
  <w:style w:type="character" w:styleId="IntenseEmphasis">
    <w:name w:val="Intense Emphasis"/>
    <w:basedOn w:val="DefaultParagraphFont"/>
    <w:uiPriority w:val="21"/>
    <w:qFormat/>
    <w:rsid w:val="005A5023"/>
    <w:rPr>
      <w:i/>
      <w:iCs/>
      <w:color w:val="0F4761" w:themeColor="accent1" w:themeShade="BF"/>
    </w:rPr>
  </w:style>
  <w:style w:type="paragraph" w:styleId="IntenseQuote">
    <w:name w:val="Intense Quote"/>
    <w:basedOn w:val="Normal"/>
    <w:next w:val="Normal"/>
    <w:link w:val="IntenseQuoteChar"/>
    <w:uiPriority w:val="30"/>
    <w:qFormat/>
    <w:rsid w:val="005A50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5023"/>
    <w:rPr>
      <w:i/>
      <w:iCs/>
      <w:color w:val="0F4761" w:themeColor="accent1" w:themeShade="BF"/>
    </w:rPr>
  </w:style>
  <w:style w:type="character" w:styleId="IntenseReference">
    <w:name w:val="Intense Reference"/>
    <w:basedOn w:val="DefaultParagraphFont"/>
    <w:uiPriority w:val="32"/>
    <w:qFormat/>
    <w:rsid w:val="005A5023"/>
    <w:rPr>
      <w:b/>
      <w:bCs/>
      <w:smallCaps/>
      <w:color w:val="0F4761" w:themeColor="accent1" w:themeShade="BF"/>
      <w:spacing w:val="5"/>
    </w:rPr>
  </w:style>
  <w:style w:type="paragraph" w:styleId="NormalWeb">
    <w:name w:val="Normal (Web)"/>
    <w:basedOn w:val="Normal"/>
    <w:uiPriority w:val="99"/>
    <w:semiHidden/>
    <w:unhideWhenUsed/>
    <w:rsid w:val="005A502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A5023"/>
    <w:rPr>
      <w:b/>
      <w:bCs/>
    </w:rPr>
  </w:style>
  <w:style w:type="character" w:customStyle="1" w:styleId="apple-converted-space">
    <w:name w:val="apple-converted-space"/>
    <w:basedOn w:val="DefaultParagraphFont"/>
    <w:rsid w:val="005A5023"/>
  </w:style>
  <w:style w:type="character" w:styleId="Emphasis">
    <w:name w:val="Emphasis"/>
    <w:basedOn w:val="DefaultParagraphFont"/>
    <w:uiPriority w:val="20"/>
    <w:qFormat/>
    <w:rsid w:val="005A50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210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1122</Words>
  <Characters>6995</Characters>
  <Application>Microsoft Office Word</Application>
  <DocSecurity>0</DocSecurity>
  <Lines>199</Lines>
  <Paragraphs>135</Paragraphs>
  <ScaleCrop>false</ScaleCrop>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Sheikh</dc:creator>
  <cp:keywords/>
  <dc:description/>
  <cp:lastModifiedBy>Osman Sheikh</cp:lastModifiedBy>
  <cp:revision>3</cp:revision>
  <dcterms:created xsi:type="dcterms:W3CDTF">2025-04-23T12:16:00Z</dcterms:created>
  <dcterms:modified xsi:type="dcterms:W3CDTF">2025-04-23T12:16:00Z</dcterms:modified>
</cp:coreProperties>
</file>