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F766E"/>
          <w:spacing w:val="60"/>
          <w:sz w:val="28"/>
          <w:szCs w:val="28"/>
        </w:rPr>
        <w:t xml:space="preserve">REORDEROS</w:t>
      </w:r>
    </w:p>
    <w:p>
      <w:pPr>
        <w:spacing w:after="80" w:before="0"/>
      </w:pPr>
      <w:r>
        <w:rPr>
          <w:rFonts w:ascii="Arial" w:cs="Arial" w:eastAsia="Arial" w:hAnsi="Arial"/>
          <w:b/>
          <w:bCs/>
          <w:color w:val="0F172A"/>
          <w:sz w:val="44"/>
          <w:szCs w:val="44"/>
        </w:rPr>
        <w:t xml:space="preserve">Database Architecture</w:t>
      </w:r>
    </w:p>
    <w:p>
      <w:pPr>
        <w:spacing w:after="320" w:before="0"/>
      </w:pPr>
      <w:r>
        <w:rPr>
          <w:rFonts w:ascii="Arial" w:cs="Arial" w:eastAsia="Arial" w:hAnsi="Arial"/>
          <w:i/>
          <w:iCs/>
          <w:color w:val="475569"/>
          <w:sz w:val="26"/>
          <w:szCs w:val="26"/>
        </w:rPr>
        <w:t xml:space="preserve">Workstream 8 — All sub-rounds (8a through 8g)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Document purpose. </w:t>
            </w:r>
            <w:r>
              <w:rPr>
                <w:rFonts w:ascii="Arial" w:cs="Arial" w:eastAsia="Arial" w:hAnsi="Arial"/>
                <w:color w:val="0F172A"/>
                <w:sz w:val="22"/>
                <w:szCs w:val="22"/>
              </w:rPr>
              <w:t xml:space="preserve">This is the standalone reference document for ReorderOS's database architecture. It captures every schema-architecture and operational-posture decision made across Workstream 8 — the foundation layer that every other workstream reads from or writes to.</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Status. </w:t>
            </w:r>
            <w:r>
              <w:rPr>
                <w:rFonts w:ascii="Arial" w:cs="Arial" w:eastAsia="Arial" w:hAnsi="Arial"/>
                <w:color w:val="0F172A"/>
                <w:sz w:val="22"/>
                <w:szCs w:val="22"/>
              </w:rPr>
              <w:t xml:space="preserve">Workstream 8 fully closed. All sub-rounds (8a through 8g) locked. 111 locks total (8.1–8.120, with 8.5 the only remaining open item — auth strategy, deferred to early implementation).</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Scope. </w:t>
            </w:r>
            <w:r>
              <w:rPr>
                <w:rFonts w:ascii="Arial" w:cs="Arial" w:eastAsia="Arial" w:hAnsi="Arial"/>
                <w:color w:val="0F172A"/>
                <w:sz w:val="22"/>
                <w:szCs w:val="22"/>
              </w:rPr>
              <w:t xml:space="preserve">Multi-tenancy model, framework selection, master vs tenant data partition, RLS policies, admin pathway, indexes, primary keys, JSONB usage, deletion patterns, migrations strategy, compliance and retention, breach notification, data minimization, backup/PITR, restore drill discipline, cross-region replication, incident response posture.</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What's new in v2. </w:t>
            </w:r>
            <w:r>
              <w:rPr>
                <w:rFonts w:ascii="Arial" w:cs="Arial" w:eastAsia="Arial" w:hAnsi="Arial"/>
                <w:color w:val="0F172A"/>
                <w:sz w:val="22"/>
                <w:szCs w:val="22"/>
              </w:rPr>
              <w:t xml:space="preserve">Sub-round 8g (backup, disaster recovery, and incident response) added in full. 24 new locks (8.97–8.120) covering RPO/RTO targets, PITR configuration, quarterly restore drill discipline, cross-region backup replication, and Posture B incident response with runbook stubs and customer communication templates.</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Out of scope (for this document). </w:t>
            </w:r>
            <w:r>
              <w:rPr>
                <w:rFonts w:ascii="Arial" w:cs="Arial" w:eastAsia="Arial" w:hAnsi="Arial"/>
                <w:color w:val="0F172A"/>
                <w:sz w:val="22"/>
                <w:szCs w:val="22"/>
              </w:rPr>
              <w:t xml:space="preserve">Specific column-level DDL (deferred to migration files), specific index names (deferred to migration files), API endpoint contracts (Workstream 9), specific runbook content (operational playbook, written before launch).</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Companion documents. </w:t>
            </w:r>
            <w:r>
              <w:rPr>
                <w:rFonts w:ascii="Arial" w:cs="Arial" w:eastAsia="Arial" w:hAnsi="Arial"/>
                <w:color w:val="0F172A"/>
                <w:sz w:val="22"/>
                <w:szCs w:val="22"/>
              </w:rPr>
              <w:t xml:space="preserve">Architecture Decision Log v3 — depletion loop and post-receipt integrity. ReorderOS Onboarding Decision Log v5 — onboarding flow. This document references locks from both via citation form.</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Field</w:t>
            </w:r>
          </w:p>
        </w:tc>
        <w:tc>
          <w:tcPr>
            <w:tcW w:type="dxa" w:w="69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Value</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Document version</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2.0</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Workstream</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8 — Database layering and schema architecture</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Sub-rounds covered</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8a, 8b, 8c, 8d, 8e, 8f, 8g (all)</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Locks</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8.1 through 8.120 (111 total; 8.5 open)</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Date generated</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April 28, 2026</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Status</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Workstream 8 fully closed</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Predecessor</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Database Architecture v1 + Architecture Decision Log v3</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Companion</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Onboarding Decision Log v5 (FINAL)</w:t>
            </w:r>
          </w:p>
        </w:tc>
      </w:tr>
    </w:tbl>
    <w:p>
      <w:r>
        <w:br w:type="page"/>
      </w:r>
    </w:p>
    <w:p>
      <w:pPr>
        <w:pStyle w:val="Heading1"/>
        <w:spacing w:after="160" w:before="360"/>
      </w:pPr>
      <w:r>
        <w:rPr>
          <w:rFonts w:ascii="Arial" w:cs="Arial" w:eastAsia="Arial" w:hAnsi="Arial"/>
          <w:b/>
          <w:bCs/>
          <w:color w:val="0F172A"/>
          <w:sz w:val="36"/>
          <w:szCs w:val="36"/>
        </w:rPr>
        <w:t xml:space="preserve">Contents</w:t>
      </w:r>
    </w:p>
    <w:p>
      <w:pPr>
        <w:spacing w:after="60" w:before="60"/>
      </w:pPr>
      <w:r>
        <w:rPr>
          <w:rFonts w:ascii="Arial" w:cs="Arial" w:eastAsia="Arial" w:hAnsi="Arial"/>
          <w:color w:val="0F172A"/>
          <w:sz w:val="22"/>
          <w:szCs w:val="22"/>
        </w:rPr>
        <w:t xml:space="preserve">1.  Executive snapshot — the consequential locks</w:t>
      </w:r>
    </w:p>
    <w:p>
      <w:pPr>
        <w:spacing w:after="60" w:before="60"/>
      </w:pPr>
      <w:r>
        <w:rPr>
          <w:rFonts w:ascii="Arial" w:cs="Arial" w:eastAsia="Arial" w:hAnsi="Arial"/>
          <w:color w:val="0F172A"/>
          <w:sz w:val="22"/>
          <w:szCs w:val="22"/>
        </w:rPr>
        <w:t xml:space="preserve">2.  Platform foundation (Sub-round 8a Q1)</w:t>
      </w:r>
    </w:p>
    <w:p>
      <w:pPr>
        <w:spacing w:after="60" w:before="60"/>
      </w:pPr>
      <w:r>
        <w:rPr>
          <w:rFonts w:ascii="Arial" w:cs="Arial" w:eastAsia="Arial" w:hAnsi="Arial"/>
          <w:color w:val="0F172A"/>
          <w:sz w:val="22"/>
          <w:szCs w:val="22"/>
        </w:rPr>
        <w:t xml:space="preserve">3.  Multi-tenancy model</w:t>
      </w:r>
    </w:p>
    <w:p>
      <w:pPr>
        <w:spacing w:after="60" w:before="60"/>
      </w:pPr>
      <w:r>
        <w:rPr>
          <w:rFonts w:ascii="Arial" w:cs="Arial" w:eastAsia="Arial" w:hAnsi="Arial"/>
          <w:color w:val="0F172A"/>
          <w:sz w:val="22"/>
          <w:szCs w:val="22"/>
        </w:rPr>
        <w:t xml:space="preserve">4.  Backend framework: FastAPI</w:t>
      </w:r>
    </w:p>
    <w:p>
      <w:pPr>
        <w:spacing w:after="60" w:before="60"/>
      </w:pPr>
      <w:r>
        <w:rPr>
          <w:rFonts w:ascii="Arial" w:cs="Arial" w:eastAsia="Arial" w:hAnsi="Arial"/>
          <w:color w:val="0F172A"/>
          <w:sz w:val="22"/>
          <w:szCs w:val="22"/>
        </w:rPr>
        <w:t xml:space="preserve">5.  Master vs tenant data (Sub-round 8b)</w:t>
      </w:r>
    </w:p>
    <w:p>
      <w:pPr>
        <w:spacing w:after="60" w:before="60"/>
      </w:pPr>
      <w:r>
        <w:rPr>
          <w:rFonts w:ascii="Arial" w:cs="Arial" w:eastAsia="Arial" w:hAnsi="Arial"/>
          <w:color w:val="0F172A"/>
          <w:sz w:val="22"/>
          <w:szCs w:val="22"/>
        </w:rPr>
        <w:t xml:space="preserve">6.  Admin pathway (Sub-round 8c Q1)</w:t>
      </w:r>
    </w:p>
    <w:p>
      <w:pPr>
        <w:spacing w:after="60" w:before="60"/>
      </w:pPr>
      <w:r>
        <w:rPr>
          <w:rFonts w:ascii="Arial" w:cs="Arial" w:eastAsia="Arial" w:hAnsi="Arial"/>
          <w:color w:val="0F172A"/>
          <w:sz w:val="22"/>
          <w:szCs w:val="22"/>
        </w:rPr>
        <w:t xml:space="preserve">7.  RLS policy templates (Sub-round 8c Q2)</w:t>
      </w:r>
    </w:p>
    <w:p>
      <w:pPr>
        <w:spacing w:after="60" w:before="60"/>
      </w:pPr>
      <w:r>
        <w:rPr>
          <w:rFonts w:ascii="Arial" w:cs="Arial" w:eastAsia="Arial" w:hAnsi="Arial"/>
          <w:color w:val="0F172A"/>
          <w:sz w:val="22"/>
          <w:szCs w:val="22"/>
        </w:rPr>
        <w:t xml:space="preserve">8.  Indexing philosophy (Sub-round 8d Q1)</w:t>
      </w:r>
    </w:p>
    <w:p>
      <w:pPr>
        <w:spacing w:after="60" w:before="60"/>
      </w:pPr>
      <w:r>
        <w:rPr>
          <w:rFonts w:ascii="Arial" w:cs="Arial" w:eastAsia="Arial" w:hAnsi="Arial"/>
          <w:color w:val="0F172A"/>
          <w:sz w:val="22"/>
          <w:szCs w:val="22"/>
        </w:rPr>
        <w:t xml:space="preserve">9.  Primary keys, JSONB, deletion patterns (Sub-round 8d Q2)</w:t>
      </w:r>
    </w:p>
    <w:p>
      <w:pPr>
        <w:spacing w:after="60" w:before="60"/>
      </w:pPr>
      <w:r>
        <w:rPr>
          <w:rFonts w:ascii="Arial" w:cs="Arial" w:eastAsia="Arial" w:hAnsi="Arial"/>
          <w:color w:val="0F172A"/>
          <w:sz w:val="22"/>
          <w:szCs w:val="22"/>
        </w:rPr>
        <w:t xml:space="preserve">10. Migrations strategy (Sub-round 8e)</w:t>
      </w:r>
    </w:p>
    <w:p>
      <w:pPr>
        <w:spacing w:after="60" w:before="60"/>
      </w:pPr>
      <w:r>
        <w:rPr>
          <w:rFonts w:ascii="Arial" w:cs="Arial" w:eastAsia="Arial" w:hAnsi="Arial"/>
          <w:color w:val="0F172A"/>
          <w:sz w:val="22"/>
          <w:szCs w:val="22"/>
        </w:rPr>
        <w:t xml:space="preserve">11. Compliance, retention, audit (Sub-round 8f)</w:t>
      </w:r>
    </w:p>
    <w:p>
      <w:pPr>
        <w:spacing w:after="60" w:before="60"/>
      </w:pPr>
      <w:r>
        <w:rPr>
          <w:rFonts w:ascii="Arial" w:cs="Arial" w:eastAsia="Arial" w:hAnsi="Arial"/>
          <w:color w:val="0F172A"/>
          <w:sz w:val="22"/>
          <w:szCs w:val="22"/>
        </w:rPr>
        <w:t xml:space="preserve">12. Backup posture and recovery objectives (Sub-round 8g Q1)</w:t>
      </w:r>
    </w:p>
    <w:p>
      <w:pPr>
        <w:spacing w:after="60" w:before="60"/>
      </w:pPr>
      <w:r>
        <w:rPr>
          <w:rFonts w:ascii="Arial" w:cs="Arial" w:eastAsia="Arial" w:hAnsi="Arial"/>
          <w:color w:val="0F172A"/>
          <w:sz w:val="22"/>
          <w:szCs w:val="22"/>
        </w:rPr>
        <w:t xml:space="preserve">13. Restore drill discipline (Sub-round 8g Q2)</w:t>
      </w:r>
    </w:p>
    <w:p>
      <w:pPr>
        <w:spacing w:after="60" w:before="60"/>
      </w:pPr>
      <w:r>
        <w:rPr>
          <w:rFonts w:ascii="Arial" w:cs="Arial" w:eastAsia="Arial" w:hAnsi="Arial"/>
          <w:color w:val="0F172A"/>
          <w:sz w:val="22"/>
          <w:szCs w:val="22"/>
        </w:rPr>
        <w:t xml:space="preserve">14. Cross-region backup replication (Sub-round 8g Q3)</w:t>
      </w:r>
    </w:p>
    <w:p>
      <w:pPr>
        <w:spacing w:after="60" w:before="60"/>
      </w:pPr>
      <w:r>
        <w:rPr>
          <w:rFonts w:ascii="Arial" w:cs="Arial" w:eastAsia="Arial" w:hAnsi="Arial"/>
          <w:color w:val="0F172A"/>
          <w:sz w:val="22"/>
          <w:szCs w:val="22"/>
        </w:rPr>
        <w:t xml:space="preserve">15. Incident response posture (Sub-round 8g Q4)</w:t>
      </w:r>
    </w:p>
    <w:p>
      <w:pPr>
        <w:spacing w:after="60" w:before="60"/>
      </w:pPr>
      <w:r>
        <w:rPr>
          <w:rFonts w:ascii="Arial" w:cs="Arial" w:eastAsia="Arial" w:hAnsi="Arial"/>
          <w:color w:val="0F172A"/>
          <w:sz w:val="22"/>
          <w:szCs w:val="22"/>
        </w:rPr>
        <w:t xml:space="preserve">16. Schema layering diagram</w:t>
      </w:r>
    </w:p>
    <w:p>
      <w:pPr>
        <w:spacing w:after="60" w:before="60"/>
      </w:pPr>
      <w:r>
        <w:rPr>
          <w:rFonts w:ascii="Arial" w:cs="Arial" w:eastAsia="Arial" w:hAnsi="Arial"/>
          <w:color w:val="0F172A"/>
          <w:sz w:val="22"/>
          <w:szCs w:val="22"/>
        </w:rPr>
        <w:t xml:space="preserve">17. Cross-cutting principles enforced by schema</w:t>
      </w:r>
    </w:p>
    <w:p>
      <w:pPr>
        <w:spacing w:after="60" w:before="60"/>
      </w:pPr>
      <w:r>
        <w:rPr>
          <w:rFonts w:ascii="Arial" w:cs="Arial" w:eastAsia="Arial" w:hAnsi="Arial"/>
          <w:color w:val="0F172A"/>
          <w:sz w:val="22"/>
          <w:szCs w:val="22"/>
        </w:rPr>
        <w:t xml:space="preserve">18. Open items and next workstream</w:t>
      </w:r>
    </w:p>
    <w:p>
      <w:r>
        <w:br w:type="page"/>
      </w:r>
    </w:p>
    <w:p>
      <w:pPr>
        <w:pStyle w:val="Heading1"/>
        <w:spacing w:after="160" w:before="360"/>
      </w:pPr>
      <w:r>
        <w:rPr>
          <w:rFonts w:ascii="Arial" w:cs="Arial" w:eastAsia="Arial" w:hAnsi="Arial"/>
          <w:b/>
          <w:bCs/>
          <w:color w:val="0F172A"/>
          <w:sz w:val="36"/>
          <w:szCs w:val="36"/>
        </w:rPr>
        <w:t xml:space="preserve">1. Executive snapshot — the consequential locks</w:t>
      </w:r>
    </w:p>
    <w:p>
      <w:pPr>
        <w:spacing w:after="80" w:before="80" w:line="300"/>
      </w:pPr>
      <w:r>
        <w:rPr>
          <w:rFonts w:ascii="Arial" w:cs="Arial" w:eastAsia="Arial" w:hAnsi="Arial"/>
          <w:color w:val="0F172A"/>
          <w:sz w:val="22"/>
          <w:szCs w:val="22"/>
        </w:rPr>
        <w:t xml:space="preserve">Nine decisions across Workstream 8 carry the most architectural weight. If anything in this document drifts in implementation, drift here is the most expensive.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Lock A — PostgreSQL on DigitalOcean Managed Database; Supabase explicitly out. </w:t>
            </w:r>
            <w:r>
              <w:rPr>
                <w:rFonts w:ascii="Arial" w:cs="Arial" w:eastAsia="Arial" w:hAnsi="Arial"/>
                <w:color w:val="0F172A"/>
                <w:sz w:val="22"/>
                <w:szCs w:val="22"/>
              </w:rPr>
              <w:t xml:space="preserve">The full stack is FastAPI (Python, async) on DigitalOcean App Platform → DigitalOcean Managed Postgres → DigitalOcean Spaces for file storage. No Supabase, no Auth0/Clerk locked yet (open), no realtime subscription layer in v1. Foreground polling only for cross-device sync. (Locks 8.1, 8.3, 8.4, 8.6.)</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Lock B — Multi-tenancy is Model A: shared schema + tenant_id + Postgres RLS. </w:t>
            </w:r>
            <w:r>
              <w:rPr>
                <w:rFonts w:ascii="Arial" w:cs="Arial" w:eastAsia="Arial" w:hAnsi="Arial"/>
                <w:color w:val="0F172A"/>
                <w:sz w:val="22"/>
                <w:szCs w:val="22"/>
              </w:rPr>
              <w:t xml:space="preserve">Every tenant-scoped table has a tenant_id column. RLS is the database-level authoritative enforcement layer. Application middleware sets app.tenant_id from JWT on every request. Defense-in-depth has four layers: middleware, RLS, code review, periodic security audits. (Locks 8.10–8.19.)</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Lock C — Master vs tenant data partition is explicit per category. </w:t>
            </w:r>
            <w:r>
              <w:rPr>
                <w:rFonts w:ascii="Arial" w:cs="Arial" w:eastAsia="Arial" w:hAnsi="Arial"/>
                <w:color w:val="0F172A"/>
                <w:sz w:val="22"/>
                <w:szCs w:val="22"/>
              </w:rPr>
              <w:t xml:space="preserve">Ingredients, recipes, suppliers, locations, holidays, weather, events, OCR thresholds: master, location/region-keyed where applicable. Tenant business data, forecast parameters, yields, idempotency keys: tenant-scoped. Suppliers: hybrid (suppliers_master public + tenant_suppliers private). One Toronto weather row shared by 1,000 Toronto tenants — API call deduplication is automatic. (Locks 8.27–8.37.)</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Lock D — Admin pathway is Pattern 3: scoped sessions + pre-aggregated analytics. </w:t>
            </w:r>
            <w:r>
              <w:rPr>
                <w:rFonts w:ascii="Arial" w:cs="Arial" w:eastAsia="Arial" w:hAnsi="Arial"/>
                <w:color w:val="0F172A"/>
                <w:sz w:val="22"/>
                <w:szCs w:val="22"/>
              </w:rPr>
              <w:t xml:space="preserve">Admin operators set app.tenant_id to inspect one tenant at a time. Cross-tenant analytics queries read from pre-aggregated tables populated by scheduled jobs. BYPASSRLS exists in exactly one place: the analytics_writer role used by scheduled jobs, never by interactive sessions. Every admin tenant-context switch generates an audit log entry. (Locks 8.38–8.45.)</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Lock E — Four canonical RLS templates (T1/T2/T3/T4), enforced by CI. </w:t>
            </w:r>
            <w:r>
              <w:rPr>
                <w:rFonts w:ascii="Arial" w:cs="Arial" w:eastAsia="Arial" w:hAnsi="Arial"/>
                <w:color w:val="0F172A"/>
                <w:sz w:val="22"/>
                <w:szCs w:val="22"/>
              </w:rPr>
              <w:t xml:space="preserve">T1 tenant-scoped, T2 master read-only, T3 hybrid, T4 special cases. Migrations adding tenant-scoped tables without RLS fail in CI. SET LOCAL app.tenant_id is used inside transactions to make pooled connections safe. (Locks 8.46–8.53.)</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Lock F — Indexing is Philosophy C: lock-derived + universal patterns + reactive observation. </w:t>
            </w:r>
            <w:r>
              <w:rPr>
                <w:rFonts w:ascii="Arial" w:cs="Arial" w:eastAsia="Arial" w:hAnsi="Arial"/>
                <w:color w:val="0F172A"/>
                <w:sz w:val="22"/>
                <w:szCs w:val="22"/>
              </w:rPr>
              <w:t xml:space="preserve">31 named indexes for the v1 schema covering every locked query pattern from Workstreams 1–7. tenant_id is always the leading column on composite indexes. UUIDv7 primary keys throughout. JSONB for display-only data, normalized tables for analytics. Soft delete for business entities, hard delete for transient data, append-only for audit/ledger. (Locks 8.54–8.69.)</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Lock G — Migrations are online by default (Philosophy C), forward-only. </w:t>
            </w:r>
            <w:r>
              <w:rPr>
                <w:rFonts w:ascii="Arial" w:cs="Arial" w:eastAsia="Arial" w:hAnsi="Arial"/>
                <w:color w:val="0F172A"/>
                <w:sz w:val="22"/>
                <w:szCs w:val="22"/>
              </w:rPr>
              <w:t xml:space="preserve">Online-migration patterns codified: NOT NULL added in steps; CONCURRENTLY for indexes; type changes via shadow column. Down migrations are NOT maintained — recovery via forward fix or backup restore. CI enforces RLS coverage on new tables. (Locks 8.70–8.77.)</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Lock H — Compliance is Approach B + Pattern B + bundle. </w:t>
            </w:r>
            <w:r>
              <w:rPr>
                <w:rFonts w:ascii="Arial" w:cs="Arial" w:eastAsia="Arial" w:hAnsi="Arial"/>
                <w:color w:val="0F172A"/>
                <w:sz w:val="22"/>
                <w:szCs w:val="22"/>
              </w:rPr>
              <w:t xml:space="preserve">Tiered retention: business data while active, operational logs 90d, audit logs 2y, sessions 30d, idempotency_keys 24h. Account closure: 30-day grace period, then full deletion. Self-service Settings → Privacy &amp; Data for download/delete. Structured logging with PII redaction; never log raw request bodies. (Locks 8.78–8.96.)</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Lock I — Backup posture is Posture A + cross-region replication; restore drills quarterly; incident response is Posture B. </w:t>
            </w:r>
            <w:r>
              <w:rPr>
                <w:rFonts w:ascii="Arial" w:cs="Arial" w:eastAsia="Arial" w:hAnsi="Arial"/>
                <w:color w:val="0F172A"/>
                <w:sz w:val="22"/>
                <w:szCs w:val="22"/>
              </w:rPr>
              <w:t xml:space="preserve">RPO 1 hour, RTO 4 hours via DigitalOcean Managed Postgres PITR with 7-day retention. Backups replicated to a secondary region — survives regional catastrophe. Quarterly restore drills with documented runbooks; one of four annual drills is cross-region. Incident response: founder primary on-call + designated backup, runbook stubs for every P1/P2 alert category written before launch, customer comms templates ready, postmortems on all P1 incidents. (Locks 8.97–8.120.)</w:t>
            </w:r>
          </w:p>
        </w:tc>
      </w:tr>
    </w:tbl>
    <w:p>
      <w:r>
        <w:br w:type="page"/>
      </w:r>
    </w:p>
    <w:p>
      <w:pPr>
        <w:pStyle w:val="Heading1"/>
        <w:spacing w:after="160" w:before="360"/>
      </w:pPr>
      <w:r>
        <w:rPr>
          <w:rFonts w:ascii="Arial" w:cs="Arial" w:eastAsia="Arial" w:hAnsi="Arial"/>
          <w:b/>
          <w:bCs/>
          <w:color w:val="0F172A"/>
          <w:sz w:val="36"/>
          <w:szCs w:val="36"/>
        </w:rPr>
        <w:t xml:space="preserve">2. Platform foundation</w:t>
      </w:r>
    </w:p>
    <w:p>
      <w:pPr>
        <w:spacing w:after="80" w:before="80" w:line="300"/>
      </w:pPr>
      <w:r>
        <w:rPr>
          <w:rFonts w:ascii="Arial" w:cs="Arial" w:eastAsia="Arial" w:hAnsi="Arial"/>
          <w:color w:val="0F172A"/>
          <w:sz w:val="22"/>
          <w:szCs w:val="22"/>
        </w:rPr>
        <w:t xml:space="preserve">Before any schema work, Workstream 8 had to lock the platform stack. Earlier architecture work (Workstreams 1–7) referenced Supabase implicitly. The founder confirmed during Workstream 8 that Supabase is out entirely — the stack is custom-built on DigitalOcean.</w:t>
      </w:r>
    </w:p>
    <w:p>
      <w:pPr>
        <w:pStyle w:val="Heading2"/>
        <w:spacing w:after="120" w:before="280"/>
      </w:pPr>
      <w:r>
        <w:rPr>
          <w:rFonts w:ascii="Arial" w:cs="Arial" w:eastAsia="Arial" w:hAnsi="Arial"/>
          <w:b/>
          <w:bCs/>
          <w:color w:val="0F172A"/>
          <w:sz w:val="28"/>
          <w:szCs w:val="28"/>
        </w:rPr>
        <w:t xml:space="preserve">2.1 The locked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Layer</w:t>
            </w:r>
          </w:p>
        </w:tc>
        <w:tc>
          <w:tcPr>
            <w:tcW w:type="dxa" w:w="35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Choice</w:t>
            </w:r>
          </w:p>
        </w:tc>
        <w:tc>
          <w:tcPr>
            <w:tcW w:type="dxa" w:w="40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Notes</w:t>
            </w:r>
          </w:p>
        </w:tc>
      </w:tr>
      <w:tr>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Compute</w:t>
            </w:r>
          </w:p>
        </w:tc>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DigitalOcean App Platform (PaaS)</w:t>
            </w:r>
          </w:p>
        </w:tc>
        <w:tc>
          <w:tcPr>
            <w:tcW w:type="dxa" w:w="40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Pre-launch through ~1000 tenants. Migration to Droplets or DOKS reserved for Phase 2.</w:t>
            </w:r>
          </w:p>
        </w:tc>
      </w:tr>
      <w:tr>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Backend framework</w:t>
            </w:r>
          </w:p>
        </w:tc>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FastAPI (Python, async)</w:t>
            </w:r>
          </w:p>
        </w:tc>
        <w:tc>
          <w:tcPr>
            <w:tcW w:type="dxa" w:w="40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OpenAPI 3 auto-generated; mobile clients auto-generate typed clients in CI.</w:t>
            </w:r>
          </w:p>
        </w:tc>
      </w:tr>
      <w:tr>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ORM and migrations</w:t>
            </w:r>
          </w:p>
        </w:tc>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SQLAlchemy 2.x async + Alembic</w:t>
            </w:r>
          </w:p>
        </w:tc>
        <w:tc>
          <w:tcPr>
            <w:tcW w:type="dxa" w:w="40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Pydantic models map to ORM models.</w:t>
            </w:r>
          </w:p>
        </w:tc>
      </w:tr>
      <w:tr>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Database</w:t>
            </w:r>
          </w:p>
        </w:tc>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PostgreSQL (latest LTS) on DigitalOcean Managed Database</w:t>
            </w:r>
          </w:p>
        </w:tc>
        <w:tc>
          <w:tcPr>
            <w:tcW w:type="dxa" w:w="40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RLS-enforced multi-tenancy. PostGIS extension for event radius queries.</w:t>
            </w:r>
          </w:p>
        </w:tc>
      </w:tr>
      <w:tr>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File storage</w:t>
            </w:r>
          </w:p>
        </w:tc>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DigitalOcean Spaces (S3-compatible)</w:t>
            </w:r>
          </w:p>
        </w:tc>
        <w:tc>
          <w:tcPr>
            <w:tcW w:type="dxa" w:w="40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Receipt photos, profile assets, exports.</w:t>
            </w:r>
          </w:p>
        </w:tc>
      </w:tr>
      <w:tr>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Auth</w:t>
            </w:r>
          </w:p>
        </w:tc>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TBD in this workstream — open</w:t>
            </w:r>
          </w:p>
        </w:tc>
        <w:tc>
          <w:tcPr>
            <w:tcW w:type="dxa" w:w="40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Options: third-party (Auth0/Clerk/WorkOS) or custom-built on Postgres + JWT.</w:t>
            </w:r>
          </w:p>
        </w:tc>
      </w:tr>
      <w:tr>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Cross-device sync</w:t>
            </w:r>
          </w:p>
        </w:tc>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Foreground polling only — no realtime in v1</w:t>
            </w:r>
          </w:p>
        </w:tc>
        <w:tc>
          <w:tcPr>
            <w:tcW w:type="dxa" w:w="40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Custom WebSocket infrastructure deferred to Phase 2 if owners report cross-device staleness.</w:t>
            </w:r>
          </w:p>
        </w:tc>
      </w:tr>
      <w:tr>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Connection pool</w:t>
            </w:r>
          </w:p>
        </w:tc>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PgBouncer transaction-pooling mode</w:t>
            </w:r>
          </w:p>
        </w:tc>
        <w:tc>
          <w:tcPr>
            <w:tcW w:type="dxa" w:w="40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SET LOCAL app.tenant_id on every checkout.</w:t>
            </w:r>
          </w:p>
        </w:tc>
      </w:tr>
    </w:tbl>
    <w:p>
      <w:pPr>
        <w:pStyle w:val="Heading2"/>
        <w:spacing w:after="120" w:before="280"/>
      </w:pPr>
      <w:r>
        <w:rPr>
          <w:rFonts w:ascii="Arial" w:cs="Arial" w:eastAsia="Arial" w:hAnsi="Arial"/>
          <w:b/>
          <w:bCs/>
          <w:color w:val="0F172A"/>
          <w:sz w:val="28"/>
          <w:szCs w:val="28"/>
        </w:rPr>
        <w:t xml:space="preserve">2.2 Workstream 7 lock revisions</w:t>
      </w:r>
    </w:p>
    <w:p>
      <w:pPr>
        <w:spacing w:after="80" w:before="80" w:line="300"/>
      </w:pPr>
      <w:r>
        <w:rPr>
          <w:rFonts w:ascii="Arial" w:cs="Arial" w:eastAsia="Arial" w:hAnsi="Arial"/>
          <w:color w:val="0F172A"/>
          <w:sz w:val="22"/>
          <w:szCs w:val="22"/>
        </w:rPr>
        <w:t xml:space="preserve">Three locks from Workstream 7 named Supabase explicitly. They are revised under the new platform stack. The mechanism in each case is unchanged — only the platform reference is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Lock 7.4 (revised). </w:t>
            </w:r>
            <w:r>
              <w:rPr>
                <w:rFonts w:ascii="Arial" w:cs="Arial" w:eastAsia="Arial" w:hAnsi="Arial"/>
                <w:color w:val="0F172A"/>
                <w:sz w:val="22"/>
                <w:szCs w:val="22"/>
              </w:rPr>
              <w:t xml:space="preserve">Cross-device sync uses one mechanism: app-foreground poll. When the app returns to foreground, all active screens refetch. There is no realtime subscription layer in v1. Cross-device updates lag by the duration the app is backgrounded.</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Lock 7.5 (revised). </w:t>
            </w:r>
            <w:r>
              <w:rPr>
                <w:rFonts w:ascii="Arial" w:cs="Arial" w:eastAsia="Arial" w:hAnsi="Arial"/>
                <w:color w:val="0F172A"/>
                <w:sz w:val="22"/>
                <w:szCs w:val="22"/>
              </w:rPr>
              <w:t xml:space="preserve">Lock superseded by Lock 8.6. There is no per-screen realtime subscription to scope. Foreground polling is the single mechanism.</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Lock 7.6 (revised). </w:t>
            </w:r>
            <w:r>
              <w:rPr>
                <w:rFonts w:ascii="Arial" w:cs="Arial" w:eastAsia="Arial" w:hAnsi="Arial"/>
                <w:color w:val="0F172A"/>
                <w:sz w:val="22"/>
                <w:szCs w:val="22"/>
              </w:rPr>
              <w:t xml:space="preserve">All queries — direct API queries from the mobile app and the web admin portal — are filtered by tenant_id via Postgres RLS policies enforced at the database level, with application-layer middleware as defense-in-depth. The realtime mention is removed because there is no realtime layer.</w:t>
            </w:r>
          </w:p>
        </w:tc>
      </w:tr>
    </w:tbl>
    <w:p>
      <w:pPr>
        <w:pStyle w:val="Heading2"/>
        <w:spacing w:after="120" w:before="280"/>
      </w:pPr>
      <w:r>
        <w:rPr>
          <w:rFonts w:ascii="Arial" w:cs="Arial" w:eastAsia="Arial" w:hAnsi="Arial"/>
          <w:b/>
          <w:bCs/>
          <w:color w:val="0F172A"/>
          <w:sz w:val="28"/>
          <w:szCs w:val="28"/>
        </w:rPr>
        <w:t xml:space="preserve">2.3 Platform foundation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300"/>
        <w:gridCol w:w="22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Database engine: PostgreSQL (latest stable LTS at build time, currently 16). Self-managed via DigitalOcean Managed Database. NOT Supabase.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Backend language: Python. Framework: FastAPI (locked at 8.20).</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Compute platform: DigitalOcean App Platform (PaaS). Migration path to Droplets or DOKS reserved for Phase 2.</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File storage: DigitalOcean Spaces (S3-compatible).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Auth strategy: TBD. Options: third-party (Auth0/Clerk/WorkOS) or custom-built on Postgres + JWT.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9A3412"/>
                <w:sz w:val="20"/>
                <w:szCs w:val="20"/>
              </w:rPr>
              <w:t xml:space="preserve">Open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Realtime cross-device sync: NOT in v1. Foreground polling only. Phase 2 reconsideration if owners report cross-device staleness.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 isolation: Postgres-native RLS + application-layer middleware. NOT Supabase RLS — direct Postgres RLS.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TanStack Query (or equivalent client-side cache) remains the cache layer. Lock 7.7 unchanged.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Reaffirmed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All other Workstream 1–7 pattern-level locks unaffected by the platform change.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Reaffirmed</w:t>
            </w:r>
          </w:p>
        </w:tc>
      </w:tr>
    </w:tbl>
    <w:p>
      <w:r>
        <w:br w:type="page"/>
      </w:r>
    </w:p>
    <w:p>
      <w:pPr>
        <w:pStyle w:val="Heading1"/>
        <w:spacing w:after="160" w:before="360"/>
      </w:pPr>
      <w:r>
        <w:rPr>
          <w:rFonts w:ascii="Arial" w:cs="Arial" w:eastAsia="Arial" w:hAnsi="Arial"/>
          <w:b/>
          <w:bCs/>
          <w:color w:val="0F172A"/>
          <w:sz w:val="36"/>
          <w:szCs w:val="36"/>
        </w:rPr>
        <w:t xml:space="preserve">3. Multi-tenancy model</w:t>
      </w:r>
    </w:p>
    <w:p>
      <w:pPr>
        <w:spacing w:after="80" w:before="80" w:line="300"/>
      </w:pPr>
      <w:r>
        <w:rPr>
          <w:rFonts w:ascii="Arial" w:cs="Arial" w:eastAsia="Arial" w:hAnsi="Arial"/>
          <w:color w:val="0F172A"/>
          <w:sz w:val="22"/>
          <w:szCs w:val="22"/>
        </w:rPr>
        <w:t xml:space="preserve">Restaurant SaaS is intrinsically multi-tenant — many restaurants share one database. Workstream 8a Q1 locked Model A: shared schema, shared tables, tenant_id column on every tenant-scoped table, with Postgres Row Security Policies as the database-level enforcement layer.</w:t>
      </w:r>
    </w:p>
    <w:p>
      <w:pPr>
        <w:pStyle w:val="Heading2"/>
        <w:spacing w:after="120" w:before="280"/>
      </w:pPr>
      <w:r>
        <w:rPr>
          <w:rFonts w:ascii="Arial" w:cs="Arial" w:eastAsia="Arial" w:hAnsi="Arial"/>
          <w:b/>
          <w:bCs/>
          <w:color w:val="0F172A"/>
          <w:sz w:val="28"/>
          <w:szCs w:val="28"/>
        </w:rPr>
        <w:t xml:space="preserve">3.1 Why Model A</w:t>
      </w:r>
    </w:p>
    <w:p>
      <w:pPr>
        <w:spacing w:after="80" w:before="80" w:line="300"/>
      </w:pPr>
      <w:r>
        <w:rPr>
          <w:rFonts w:ascii="Arial" w:cs="Arial" w:eastAsia="Arial" w:hAnsi="Arial"/>
          <w:color w:val="0F172A"/>
          <w:sz w:val="22"/>
          <w:szCs w:val="22"/>
        </w:rPr>
        <w:t xml:space="preserve">Three models were considered: Model A (shared schema with tenant_id), Model B (separate schema per tenant), and Model C (database per tenant). Model A is the industry standard for SaaS at v1 scale because it composes correctly with everything we've already locked, gives defense-in-depth security, and operational simplicity is the right call when we have hundreds of tenants — not millions.</w:t>
      </w:r>
    </w:p>
    <w:p>
      <w:pPr>
        <w:pStyle w:val="Heading2"/>
        <w:spacing w:after="120" w:before="280"/>
      </w:pPr>
      <w:r>
        <w:rPr>
          <w:rFonts w:ascii="Arial" w:cs="Arial" w:eastAsia="Arial" w:hAnsi="Arial"/>
          <w:b/>
          <w:bCs/>
          <w:color w:val="0F172A"/>
          <w:sz w:val="28"/>
          <w:szCs w:val="28"/>
        </w:rPr>
        <w:t xml:space="preserve">3.2 Defense in depth — four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gridCol w:w="1360"/>
      </w:tblGrid>
      <w:tr>
        <w:trPr>
          <w:tblHeader/>
        </w:trPr>
        <w:tc>
          <w:tcPr>
            <w:tcW w:type="dxa" w:w="24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Layer</w:t>
            </w:r>
          </w:p>
        </w:tc>
        <w:tc>
          <w:tcPr>
            <w:tcW w:type="dxa" w:w="56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Mechanism</w:t>
            </w:r>
          </w:p>
        </w:tc>
        <w:tc>
          <w:tcPr>
            <w:tcW w:type="dxa" w:w="1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Lock</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 — Application middleware</w:t>
            </w:r>
          </w:p>
        </w:tc>
        <w:tc>
          <w:tcPr>
            <w:tcW w:type="dxa" w:w="5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Extracts authenticated tenant_id from JWT/session on every request. Sets Postgres session variable app.tenant_id before any query runs.</w:t>
            </w:r>
          </w:p>
        </w:tc>
        <w:tc>
          <w:tcPr>
            <w:tcW w:type="dxa" w:w="1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8.12</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2 — Postgres RLS</w:t>
            </w:r>
          </w:p>
        </w:tc>
        <w:tc>
          <w:tcPr>
            <w:tcW w:type="dxa" w:w="5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Every tenant-scoped table has an RLS policy: USING (tenant_id = current_setting('app.tenant_id', true)::uuid). Query that forgets the filter returns zero rows, not other tenants' rows.</w:t>
            </w:r>
          </w:p>
        </w:tc>
        <w:tc>
          <w:tcPr>
            <w:tcW w:type="dxa" w:w="1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8.13</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3 — Code review and tests</w:t>
            </w:r>
          </w:p>
        </w:tc>
        <w:tc>
          <w:tcPr>
            <w:tcW w:type="dxa" w:w="5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Verify no query path bypasses middleware. Admin pathways that explicitly switch tenant context (rare, audited) are explicitly named and logged.</w:t>
            </w:r>
          </w:p>
        </w:tc>
        <w:tc>
          <w:tcPr>
            <w:tcW w:type="dxa" w:w="1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8.14</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4 — Phase 2 security audits</w:t>
            </w:r>
          </w:p>
        </w:tc>
        <w:tc>
          <w:tcPr>
            <w:tcW w:type="dxa" w:w="5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Periodic RLS bypass attempts in test environments to verify no leaks across schema changes.</w:t>
            </w:r>
          </w:p>
        </w:tc>
        <w:tc>
          <w:tcPr>
            <w:tcW w:type="dxa" w:w="1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8.15</w:t>
            </w:r>
          </w:p>
        </w:tc>
      </w:tr>
    </w:tbl>
    <w:p>
      <w:pPr>
        <w:pStyle w:val="Heading2"/>
        <w:spacing w:after="120" w:before="280"/>
      </w:pPr>
      <w:r>
        <w:rPr>
          <w:rFonts w:ascii="Arial" w:cs="Arial" w:eastAsia="Arial" w:hAnsi="Arial"/>
          <w:b/>
          <w:bCs/>
          <w:color w:val="0F172A"/>
          <w:sz w:val="28"/>
          <w:szCs w:val="28"/>
        </w:rPr>
        <w:t xml:space="preserve">3.3 The fail-safe pattern</w:t>
      </w:r>
    </w:p>
    <w:p>
      <w:pPr>
        <w:spacing w:after="80" w:before="80" w:line="300"/>
      </w:pPr>
      <w:r>
        <w:rPr>
          <w:rFonts w:ascii="Arial" w:cs="Arial" w:eastAsia="Arial" w:hAnsi="Arial"/>
          <w:color w:val="0F172A"/>
          <w:sz w:val="22"/>
          <w:szCs w:val="22"/>
        </w:rPr>
        <w:t xml:space="preserve">The RLS policy uses current_setting('app.tenant_id', true)::uuid. The true second argument means an unset session variable returns NULL instead of erroring. Combined with the equality comparison, this means a request that doesn't set app.tenant_id (a programming bug, an unauthenticated attempt, a misconfigured cron job) returns ZERO rows from every query — fail-safe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The principle: tenant_id = NULL never matches anything. </w:t>
            </w:r>
            <w:r>
              <w:rPr>
                <w:rFonts w:ascii="Arial" w:cs="Arial" w:eastAsia="Arial" w:hAnsi="Arial"/>
                <w:color w:val="0F172A"/>
                <w:sz w:val="22"/>
                <w:szCs w:val="22"/>
              </w:rPr>
              <w:t xml:space="preserve">Forgetting to set app.tenant_id can never accidentally return another tenant's data. The worst-case failure mode is a user who is mysteriously seeing zero rows everywhere — a debuggable, recoverable failure rather than a privacy disaster.</w:t>
            </w:r>
          </w:p>
        </w:tc>
      </w:tr>
    </w:tbl>
    <w:p>
      <w:pPr>
        <w:pStyle w:val="Heading2"/>
        <w:spacing w:after="120" w:before="280"/>
      </w:pPr>
      <w:r>
        <w:rPr>
          <w:rFonts w:ascii="Arial" w:cs="Arial" w:eastAsia="Arial" w:hAnsi="Arial"/>
          <w:b/>
          <w:bCs/>
          <w:color w:val="0F172A"/>
          <w:sz w:val="28"/>
          <w:szCs w:val="28"/>
        </w:rPr>
        <w:t xml:space="preserve">3.4 Multi-tenancy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300"/>
        <w:gridCol w:w="22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8.10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Multi-tenancy model: Model A. Shared schema, shared tables, tenant_id column on every tenant-scoped table.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8.11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 isolation enforced by Postgres Row Security Policies (RLS) at the database level. RLS is the authoritative enforcement layer.</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8.12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Defense-in-depth Layer 1: Application middleware extracts authenticated tenant_id from JWT/session on every request, sets it as Postgres session variable (app.tenant_id) before any query runs.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8.13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Defense-in-depth Layer 2: Every tenant-scoped table has an RLS policy: USING (tenant_id = current_setting('app.tenant_id', true)::uuid). Query that forgets the tenant_id filter returns zero rows, not other tenants' rows.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8.14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Defense-in-depth Layer 3: Code review + automated tests verify no query path bypasses the middleware. Admin pathways that explicitly switch tenant context are explicitly named and logged.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8.15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Defense-in-depth Layer 4: Phase 2 — periodic security audits run RLS bypass attempts in test environments to verify no leaks across schema changes.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Logged for Phase 2</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8.16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tenant_id type: UUID v4. Generated at tenant creation, immutable for the lifetime of the tenant.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8.17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Naming convention: every tenant-scoped table has tenant_id as the first column after the primary key, and a non-nullable foreign key constraint to tenants(tenant_id). Enforced by code review.</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8.18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Master tables (ingredients_master, recipes_master, suppliers_master) do NOT have tenant_id — they are global reference data shared across tenants. RLS policies for these tables are different (read-only for tenant clients, write-only for admin).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8.19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The pattern is locked-direction at the architectural level. Specific exceptions (if any tables genuinely should not have tenant_id) require explicit justification in code review.</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 as cross-cutting principle</w:t>
            </w:r>
          </w:p>
        </w:tc>
      </w:tr>
    </w:tbl>
    <w:p>
      <w:r>
        <w:br w:type="page"/>
      </w:r>
    </w:p>
    <w:p>
      <w:pPr>
        <w:pStyle w:val="Heading1"/>
        <w:spacing w:after="160" w:before="360"/>
      </w:pPr>
      <w:r>
        <w:rPr>
          <w:rFonts w:ascii="Arial" w:cs="Arial" w:eastAsia="Arial" w:hAnsi="Arial"/>
          <w:b/>
          <w:bCs/>
          <w:color w:val="0F172A"/>
          <w:sz w:val="36"/>
          <w:szCs w:val="36"/>
        </w:rPr>
        <w:t xml:space="preserve">4. Backend framework: FastAPI</w:t>
      </w:r>
    </w:p>
    <w:p>
      <w:pPr>
        <w:spacing w:after="80" w:before="80" w:line="300"/>
      </w:pPr>
      <w:r>
        <w:rPr>
          <w:rFonts w:ascii="Arial" w:cs="Arial" w:eastAsia="Arial" w:hAnsi="Arial"/>
          <w:color w:val="0F172A"/>
          <w:sz w:val="22"/>
          <w:szCs w:val="22"/>
        </w:rPr>
        <w:t xml:space="preserve">FastAPI was chosen over Django for five reasons: async-first matches our external API workload (Anthropic, Open-Meteo, Ticketmaster, Calendarific); API-first is the right shape for a mobile-app-driven product; auto-generated OpenAPI is a real productivity multiplier; Pydantic models compose naturally with the structured-data world we've designed; and admin tooling is a separate web app we'll build, not a free Django Admin.</w:t>
      </w:r>
    </w:p>
    <w:p>
      <w:pPr>
        <w:pStyle w:val="Heading2"/>
        <w:spacing w:after="120" w:before="280"/>
      </w:pPr>
      <w:r>
        <w:rPr>
          <w:rFonts w:ascii="Arial" w:cs="Arial" w:eastAsia="Arial" w:hAnsi="Arial"/>
          <w:b/>
          <w:bCs/>
          <w:color w:val="0F172A"/>
          <w:sz w:val="28"/>
          <w:szCs w:val="28"/>
        </w:rPr>
        <w:t xml:space="preserve">4.1 Framework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300"/>
        <w:gridCol w:w="22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8.20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Backend framework: FastAPI. Async-first, Pydantic-validated, OpenAPI 3 auto-generated.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8.21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ORM: SQLAlchemy 2.x with async support. Migrations via Alembic.</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8.22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API contract is the OpenAPI schema FastAPI emits. Mobile app generates a typed client (Swift/Kotlin or shared TS) from this schema as part of CI. Schema drift between server and client surfaces at build time, not runtime.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8.23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Pydantic models are the canonical Python representation for every API request/response. Typed objects from the depletion loop (timeline entries, PO drafts with reasoning, receipt lines, etc.) are Pydantic models that map to SQLAlchemy ORM models.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8.24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Async I/O is mandatory for external calls: Anthropic API (recipe drafting, photo extraction), Open-Meteo, Ticketmaster, Calendarific, canada-holidays.ca, POS webhook outbound calls, supplier email dispatch. Sync code paths permitted only for CPU-bound work.</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8.25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Admin UI is a separate web application (Next.js or Astro recommended; framework decision deferred) talking to the same FastAPI backend. NOT Django Admin. ~1-2 weeks engineering for v1 admin scope.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8.26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Connection pooling: SQLAlchemy async engine + pgbouncer (or DigitalOcean's Managed Postgres connection pooler) in transaction-pooling mode. Session variable app.tenant_id set on every checkout, cleared on checkin.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Why Lock 8.26 matters operationally. </w:t>
            </w:r>
            <w:r>
              <w:rPr>
                <w:rFonts w:ascii="Arial" w:cs="Arial" w:eastAsia="Arial" w:hAnsi="Arial"/>
                <w:color w:val="0F172A"/>
                <w:sz w:val="22"/>
                <w:szCs w:val="22"/>
              </w:rPr>
              <w:t xml:space="preserve">Connection pooling in multi-tenant Postgres is a place teams get burned because session variables and transaction-pooled connections interact subtly. The pattern (set on transaction begin, cleared on transaction end via SET LOCAL — see Lock 8.53) is well-trodden but it has to be built deliberately. A misconfigured pool can leak the previous request's tenant_id to the next request on the same connection — a privacy disaster.</w:t>
            </w:r>
          </w:p>
        </w:tc>
      </w:tr>
    </w:tbl>
    <w:p>
      <w:r>
        <w:br w:type="page"/>
      </w:r>
    </w:p>
    <w:p>
      <w:pPr>
        <w:pStyle w:val="Heading1"/>
        <w:spacing w:after="160" w:before="360"/>
      </w:pPr>
      <w:r>
        <w:rPr>
          <w:rFonts w:ascii="Arial" w:cs="Arial" w:eastAsia="Arial" w:hAnsi="Arial"/>
          <w:b/>
          <w:bCs/>
          <w:color w:val="0F172A"/>
          <w:sz w:val="36"/>
          <w:szCs w:val="36"/>
        </w:rPr>
        <w:t xml:space="preserve">5. Master vs tenant data</w:t>
      </w:r>
    </w:p>
    <w:p>
      <w:pPr>
        <w:spacing w:after="80" w:before="80" w:line="300"/>
      </w:pPr>
      <w:r>
        <w:rPr>
          <w:rFonts w:ascii="Arial" w:cs="Arial" w:eastAsia="Arial" w:hAnsi="Arial"/>
          <w:color w:val="0F172A"/>
          <w:sz w:val="22"/>
          <w:szCs w:val="22"/>
        </w:rPr>
        <w:t xml:space="preserve">Workstream 8b locked the data partition: which categories of data are stored once and shared across all tenants (master), which are stored per-tenant (tenant-scoped), and which are hybrid (master with per-tenant overrides).</w:t>
      </w:r>
    </w:p>
    <w:p>
      <w:pPr>
        <w:pStyle w:val="Heading2"/>
        <w:spacing w:after="120" w:before="280"/>
      </w:pPr>
      <w:r>
        <w:rPr>
          <w:rFonts w:ascii="Arial" w:cs="Arial" w:eastAsia="Arial" w:hAnsi="Arial"/>
          <w:b/>
          <w:bCs/>
          <w:color w:val="0F172A"/>
          <w:sz w:val="28"/>
          <w:szCs w:val="28"/>
        </w:rPr>
        <w:t xml:space="preserve">5.1 The categorization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200"/>
        <w:gridCol w:w="1360"/>
      </w:tblGrid>
      <w:tr>
        <w:trPr>
          <w:tblHeader/>
        </w:trPr>
        <w:tc>
          <w:tcPr>
            <w:tcW w:type="dxa" w:w="22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Category</w:t>
            </w:r>
          </w:p>
        </w:tc>
        <w:tc>
          <w:tcPr>
            <w:tcW w:type="dxa" w:w="16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Pattern</w:t>
            </w:r>
          </w:p>
        </w:tc>
        <w:tc>
          <w:tcPr>
            <w:tcW w:type="dxa" w:w="42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Why</w:t>
            </w:r>
          </w:p>
        </w:tc>
        <w:tc>
          <w:tcPr>
            <w:tcW w:type="dxa" w:w="1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Key</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Ingredients (canonical)</w:t>
            </w:r>
          </w:p>
        </w:tc>
        <w:tc>
          <w:tcPr>
            <w:tcW w:type="dxa" w:w="1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Master</w:t>
            </w:r>
          </w:p>
        </w:tc>
        <w:tc>
          <w:tcPr>
            <w:tcW w:type="dxa" w:w="4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Shared directory grows over time; foundation for Moat Layer 1</w:t>
            </w:r>
          </w:p>
        </w:tc>
        <w:tc>
          <w:tcPr>
            <w:tcW w:type="dxa" w:w="1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ingredient_id</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Recipes (canonical at chains)</w:t>
            </w:r>
          </w:p>
        </w:tc>
        <w:tc>
          <w:tcPr>
            <w:tcW w:type="dxa" w:w="1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Master</w:t>
            </w:r>
          </w:p>
        </w:tc>
        <w:tc>
          <w:tcPr>
            <w:tcW w:type="dxa" w:w="4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Day-0 starting points for new tenants</w:t>
            </w:r>
          </w:p>
        </w:tc>
        <w:tc>
          <w:tcPr>
            <w:tcW w:type="dxa" w:w="1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recipe_id</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Suppliers</w:t>
            </w:r>
          </w:p>
        </w:tc>
        <w:tc>
          <w:tcPr>
            <w:tcW w:type="dxa" w:w="1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Hybrid</w:t>
            </w:r>
          </w:p>
        </w:tc>
        <w:tc>
          <w:tcPr>
            <w:tcW w:type="dxa" w:w="4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Public knowledge (company, region, MOQ, cadence) is master; private relationship (price, account #, sales rep) is tenant-scoped</w:t>
            </w:r>
          </w:p>
        </w:tc>
        <w:tc>
          <w:tcPr>
            <w:tcW w:type="dxa" w:w="1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supplier_id + (tenant_id, supplier_id)</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Locations</w:t>
            </w:r>
          </w:p>
        </w:tc>
        <w:tc>
          <w:tcPr>
            <w:tcW w:type="dxa" w:w="1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Master</w:t>
            </w:r>
          </w:p>
        </w:tc>
        <w:tc>
          <w:tcPr>
            <w:tcW w:type="dxa" w:w="4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Geocoded coordinates, timezone, region. Multiple tenants can reference the same location_id.</w:t>
            </w:r>
          </w:p>
        </w:tc>
        <w:tc>
          <w:tcPr>
            <w:tcW w:type="dxa" w:w="1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location_id</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Holidays</w:t>
            </w:r>
          </w:p>
        </w:tc>
        <w:tc>
          <w:tcPr>
            <w:tcW w:type="dxa" w:w="1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Master, region-keyed</w:t>
            </w:r>
          </w:p>
        </w:tc>
        <w:tc>
          <w:tcPr>
            <w:tcW w:type="dxa" w:w="4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Province-aware (CA-ON gets Family Day; CA-QC gets Saint-Jean-Baptiste). Sourced from canada-holidays.ca + Calendarific.</w:t>
            </w:r>
          </w:p>
        </w:tc>
        <w:tc>
          <w:tcPr>
            <w:tcW w:type="dxa" w:w="1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(region_code, date)</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Weather observations + forecasts</w:t>
            </w:r>
          </w:p>
        </w:tc>
        <w:tc>
          <w:tcPr>
            <w:tcW w:type="dxa" w:w="1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Master, location-keyed</w:t>
            </w:r>
          </w:p>
        </w:tc>
        <w:tc>
          <w:tcPr>
            <w:tcW w:type="dxa" w:w="4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One Toronto weather row per hour shared by every Toronto tenant. Sourced from Open-Meteo.</w:t>
            </w:r>
          </w:p>
        </w:tc>
        <w:tc>
          <w:tcPr>
            <w:tcW w:type="dxa" w:w="1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(location_id, time)</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Events (Ticketmaster)</w:t>
            </w:r>
          </w:p>
        </w:tc>
        <w:tc>
          <w:tcPr>
            <w:tcW w:type="dxa" w:w="1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Master, location-keyed</w:t>
            </w:r>
          </w:p>
        </w:tc>
        <w:tc>
          <w:tcPr>
            <w:tcW w:type="dxa" w:w="4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One event row per concert/game shared by every tenant within radius. Radius queries use PostGIS.</w:t>
            </w:r>
          </w:p>
        </w:tc>
        <w:tc>
          <w:tcPr>
            <w:tcW w:type="dxa" w:w="1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(location_id, time)</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OCR confidence thresholds</w:t>
            </w:r>
          </w:p>
        </w:tc>
        <w:tc>
          <w:tcPr>
            <w:tcW w:type="dxa" w:w="1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Master (global)</w:t>
            </w:r>
          </w:p>
        </w:tc>
        <w:tc>
          <w:tcPr>
            <w:tcW w:type="dxa" w:w="4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Tuning benefits all tenants equally. Per-tenant thresholds are over-engineering for v1.</w:t>
            </w:r>
          </w:p>
        </w:tc>
        <w:tc>
          <w:tcPr>
            <w:tcW w:type="dxa" w:w="1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global</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Tenant business data (POs, receipts, inventory, recipes per-tenant, menu, sales)</w:t>
            </w:r>
          </w:p>
        </w:tc>
        <w:tc>
          <w:tcPr>
            <w:tcW w:type="dxa" w:w="1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Tenant-scoped</w:t>
            </w:r>
          </w:p>
        </w:tc>
        <w:tc>
          <w:tcPr>
            <w:tcW w:type="dxa" w:w="4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Restaurant-specific operational data</w:t>
            </w:r>
          </w:p>
        </w:tc>
        <w:tc>
          <w:tcPr>
            <w:tcW w:type="dxa" w:w="1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tenant_id</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Forecast parameters</w:t>
            </w:r>
          </w:p>
        </w:tc>
        <w:tc>
          <w:tcPr>
            <w:tcW w:type="dxa" w:w="1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Tenant-scoped</w:t>
            </w:r>
          </w:p>
        </w:tc>
        <w:tc>
          <w:tcPr>
            <w:tcW w:type="dxa" w:w="4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Per-supplier lead-time, tenant-wide safety multiplier, threshold offset (Lock 3.4)</w:t>
            </w:r>
          </w:p>
        </w:tc>
        <w:tc>
          <w:tcPr>
            <w:tcW w:type="dxa" w:w="1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tenant_id</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Yield observations</w:t>
            </w:r>
          </w:p>
        </w:tc>
        <w:tc>
          <w:tcPr>
            <w:tcW w:type="dxa" w:w="1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Tenant-scoped (Phase 2: anonymized aggregates)</w:t>
            </w:r>
          </w:p>
        </w:tc>
        <w:tc>
          <w:tcPr>
            <w:tcW w:type="dxa" w:w="4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Privacy-safe default; aggregation is Phase 2 Moat Layer 2 work</w:t>
            </w:r>
          </w:p>
        </w:tc>
        <w:tc>
          <w:tcPr>
            <w:tcW w:type="dxa" w:w="1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tenant_id</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Idempotency keys, sessions</w:t>
            </w:r>
          </w:p>
        </w:tc>
        <w:tc>
          <w:tcPr>
            <w:tcW w:type="dxa" w:w="1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Tenant-scoped</w:t>
            </w:r>
          </w:p>
        </w:tc>
        <w:tc>
          <w:tcPr>
            <w:tcW w:type="dxa" w:w="4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Operational state per request/session</w:t>
            </w:r>
          </w:p>
        </w:tc>
        <w:tc>
          <w:tcPr>
            <w:tcW w:type="dxa" w:w="1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tenant_id</w:t>
            </w:r>
          </w:p>
        </w:tc>
      </w:tr>
    </w:tbl>
    <w:p>
      <w:pPr>
        <w:pStyle w:val="Heading2"/>
        <w:spacing w:after="120" w:before="280"/>
      </w:pPr>
      <w:r>
        <w:rPr>
          <w:rFonts w:ascii="Arial" w:cs="Arial" w:eastAsia="Arial" w:hAnsi="Arial"/>
          <w:b/>
          <w:bCs/>
          <w:color w:val="0F172A"/>
          <w:sz w:val="28"/>
          <w:szCs w:val="28"/>
        </w:rPr>
        <w:t xml:space="preserve">5.2 The architectural property: API-call deduplication is automatic</w:t>
      </w:r>
    </w:p>
    <w:p>
      <w:pPr>
        <w:spacing w:after="80" w:before="80" w:line="300"/>
      </w:pPr>
      <w:r>
        <w:rPr>
          <w:rFonts w:ascii="Arial" w:cs="Arial" w:eastAsia="Arial" w:hAnsi="Arial"/>
          <w:color w:val="0F172A"/>
          <w:sz w:val="22"/>
          <w:szCs w:val="22"/>
        </w:rPr>
        <w:t xml:space="preserve">The master/location-keyed model has an important architectural property worth seeing clearly. The schema design itself prevents API-call multiplication.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Concrete example. </w:t>
            </w:r>
            <w:r>
              <w:rPr>
                <w:rFonts w:ascii="Arial" w:cs="Arial" w:eastAsia="Arial" w:hAnsi="Arial"/>
                <w:color w:val="0F172A"/>
                <w:sz w:val="22"/>
                <w:szCs w:val="22"/>
              </w:rPr>
              <w:t xml:space="preserve">1,000 Toronto tenants under tenant-scoped storage would mean 1,000 redundant Open-Meteo fetches per day for the same Toronto weather. Under master-location-keyed storage, it's 1 fetch per Toronto-day, shared by all 1,000 tenants.</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When tenant #501 in Toronto signs up, </w:t>
            </w:r>
            <w:r>
              <w:rPr>
                <w:rFonts w:ascii="Arial" w:cs="Arial" w:eastAsia="Arial" w:hAnsi="Arial"/>
                <w:color w:val="0F172A"/>
                <w:sz w:val="22"/>
                <w:szCs w:val="22"/>
              </w:rPr>
              <w:t xml:space="preserve">the next nightly batch sees that location_id=Toronto already has weather/events/holidays data, and just lets that tenant query it. No new fetch. No new rows. Cold-start for tenant #501 is essentially free for these signals.</w:t>
            </w:r>
          </w:p>
        </w:tc>
      </w:tr>
    </w:tbl>
    <w:p>
      <w:pPr>
        <w:pStyle w:val="Heading2"/>
        <w:spacing w:after="120" w:before="280"/>
      </w:pPr>
      <w:r>
        <w:rPr>
          <w:rFonts w:ascii="Arial" w:cs="Arial" w:eastAsia="Arial" w:hAnsi="Arial"/>
          <w:b/>
          <w:bCs/>
          <w:color w:val="0F172A"/>
          <w:sz w:val="28"/>
          <w:szCs w:val="28"/>
        </w:rPr>
        <w:t xml:space="preserve">5.3 Master vs tenant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300"/>
        <w:gridCol w:w="22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8.27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Suppliers are hybrid: suppliers_master (company name, region served, typical delivery days, default MOQ, public contact) + tenant_suppliers join (negotiated price, account number, sales rep contact, payment terms, credit line, delivery cadence overrides). Foundation for Moat Layer 4.</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8.28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Holidays are master, keyed by region_code. Province-aware (CA-ON, CA-QC, etc.). Sourced from canada-holidays.ca for stat holidays + Calendarific for religious/international. Each tenant queries by their tenants.region_code.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8.29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Weather observations and forecasts are master, keyed by location_id. One copy of Toronto's weather, queried by every Toronto tenant. Sourced from Open-Meteo.</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8.30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Events (Ticketmaster + future sources) are master, keyed by location_id. Each tenant queries events within configurable radius of their tenants.location_id.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8.31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Forecast parameters are tenant-scoped. Already implied by Lock 3.4.</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Reaffirmed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8.32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Yield observations are tenant-scoped for v1. Phase 2 may add anonymized aggregated yield data as Moat Layer 2 (v5 §22), with explicit tenant consent.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Phase 2 path logged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8.33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OCR confidence thresholds are master (global). Calibration data captured per-receipt-line (Lock 6.30) feeds threshold tuning that benefits all tenants equally.</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8.34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tenants table includes location_id (FK to a locations master table) and region_code (TEXT, e.g., 'CA-ON'). Both required at tenant creation, derived from geocoded address per v5 §30.1.</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8.35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locations master table is introduced as a normalized lookup. Stores location_id, geocoded coordinates (lat/lng), city/region/country, timezone (per v5 §30.1's tenant-local clock). One row per geocoded location. Tenants share location_ids when they're in the same geocoded location.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8.36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API call deduplication is automatic by virtue of the schema. Open-Meteo / Ticketmaster / Calendarific are fetched once per (location_id, time_window) and shared across all tenants in that location.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8.37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RLS for master tables: tenants can SELECT freely from holidays/weather/events/locations/suppliers_master/recipes_master/ingredients_master. They cannot INSERT/UPDATE/DELETE. tenant_suppliers (the join table) is tenant-scoped and follows Lock 8.13's RLS pattern.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bl>
    <w:p>
      <w:r>
        <w:br w:type="page"/>
      </w:r>
    </w:p>
    <w:p>
      <w:pPr>
        <w:pStyle w:val="Heading1"/>
        <w:spacing w:after="160" w:before="360"/>
      </w:pPr>
      <w:r>
        <w:rPr>
          <w:rFonts w:ascii="Arial" w:cs="Arial" w:eastAsia="Arial" w:hAnsi="Arial"/>
          <w:b/>
          <w:bCs/>
          <w:color w:val="0F172A"/>
          <w:sz w:val="36"/>
          <w:szCs w:val="36"/>
        </w:rPr>
        <w:t xml:space="preserve">6. Admin pathway</w:t>
      </w:r>
    </w:p>
    <w:p>
      <w:pPr>
        <w:spacing w:after="80" w:before="80" w:line="300"/>
      </w:pPr>
      <w:r>
        <w:rPr>
          <w:rFonts w:ascii="Arial" w:cs="Arial" w:eastAsia="Arial" w:hAnsi="Arial"/>
          <w:color w:val="0F172A"/>
          <w:sz w:val="22"/>
          <w:szCs w:val="22"/>
        </w:rPr>
        <w:t xml:space="preserve">The admin layer (v5 §10) needs to look at any tenant's data — to debug issues, unblock customers, review queues, see waitlist analytics. Since RLS filters all queries by app.tenant_id, the admin needs SOME way to see across tenants. Workstream 8c Q1 locked Pattern 3.</w:t>
      </w:r>
    </w:p>
    <w:p>
      <w:pPr>
        <w:pStyle w:val="Heading2"/>
        <w:spacing w:after="120" w:before="280"/>
      </w:pPr>
      <w:r>
        <w:rPr>
          <w:rFonts w:ascii="Arial" w:cs="Arial" w:eastAsia="Arial" w:hAnsi="Arial"/>
          <w:b/>
          <w:bCs/>
          <w:color w:val="0F172A"/>
          <w:sz w:val="28"/>
          <w:szCs w:val="28"/>
        </w:rPr>
        <w:t xml:space="preserve">6.1 Pattern 3 explained</w:t>
      </w:r>
    </w:p>
    <w:p>
      <w:pPr>
        <w:spacing w:after="80" w:before="80" w:line="300"/>
      </w:pPr>
      <w:r>
        <w:rPr>
          <w:rFonts w:ascii="Arial" w:cs="Arial" w:eastAsia="Arial" w:hAnsi="Arial"/>
          <w:color w:val="0F172A"/>
          <w:sz w:val="22"/>
          <w:szCs w:val="22"/>
        </w:rPr>
        <w:t xml:space="preserve">Pattern 3 is hybrid: scoped-tenant sessions for normal admin work, dedicated analytics endpoints reading pre-aggregated tables for cross-tenant queries. The admin can never run a live query that returns data from multiple tenants — that capability is reserved for scheduled aggregation jobs running with elevated privileges.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rPr>
          <w:tblHeader/>
        </w:trPr>
        <w:tc>
          <w:tcPr>
            <w:tcW w:type="dxa" w:w="24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Operation</w:t>
            </w:r>
          </w:p>
        </w:tc>
        <w:tc>
          <w:tcPr>
            <w:tcW w:type="dxa" w:w="45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Mechanism</w:t>
            </w:r>
          </w:p>
        </w:tc>
        <w:tc>
          <w:tcPr>
            <w:tcW w:type="dxa" w:w="24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Notes</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Inspect tenant ABC's data</w:t>
            </w:r>
          </w:p>
        </w:tc>
        <w:tc>
          <w:tcPr>
            <w:tcW w:type="dxa" w:w="4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Admin UI sets app.tenant_id = ABC. Standard RLS applies. Queries return only ABC's rows.</w:t>
            </w:r>
          </w:p>
        </w:tc>
        <w:tc>
          <w:tcPr>
            <w:tcW w:type="dxa" w:w="24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Audit-logged in admin_audit_log</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Switch to tenant XYZ</w:t>
            </w:r>
          </w:p>
        </w:tc>
        <w:tc>
          <w:tcPr>
            <w:tcW w:type="dxa" w:w="4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Admin UI sets app.tenant_id = XYZ. Different audit row.</w:t>
            </w:r>
          </w:p>
        </w:tc>
        <w:tc>
          <w:tcPr>
            <w:tcW w:type="dxa" w:w="24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Operator must explicitly switch — no implicit cross-tenant view</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Aggregate metric (MRR, tenant count, churn)</w:t>
            </w:r>
          </w:p>
        </w:tc>
        <w:tc>
          <w:tcPr>
            <w:tcW w:type="dxa" w:w="4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Read from admin_analytics_* tables populated nightly by aggregation jobs</w:t>
            </w:r>
          </w:p>
        </w:tc>
        <w:tc>
          <w:tcPr>
            <w:tcW w:type="dxa" w:w="24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No live cross-tenant queries from admin UI</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Modify tenant data (unfreeze, manual adjust)</w:t>
            </w:r>
          </w:p>
        </w:tc>
        <w:tc>
          <w:tcPr>
            <w:tcW w:type="dxa" w:w="4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Same scoped-session pattern. Set app.tenant_id, perform write through normal RLS.</w:t>
            </w:r>
          </w:p>
        </w:tc>
        <w:tc>
          <w:tcPr>
            <w:tcW w:type="dxa" w:w="24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Audit-logged</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Aggregate write (refresh analytics)</w:t>
            </w:r>
          </w:p>
        </w:tc>
        <w:tc>
          <w:tcPr>
            <w:tcW w:type="dxa" w:w="4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Scheduled job, analytics_writer role with BYPASSRLS</w:t>
            </w:r>
          </w:p>
        </w:tc>
        <w:tc>
          <w:tcPr>
            <w:tcW w:type="dxa" w:w="24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Never used by interactive sessions</w:t>
            </w:r>
          </w:p>
        </w:tc>
      </w:tr>
    </w:tbl>
    <w:p>
      <w:pPr>
        <w:pStyle w:val="Heading2"/>
        <w:spacing w:after="120" w:before="280"/>
      </w:pPr>
      <w:r>
        <w:rPr>
          <w:rFonts w:ascii="Arial" w:cs="Arial" w:eastAsia="Arial" w:hAnsi="Arial"/>
          <w:b/>
          <w:bCs/>
          <w:color w:val="0F172A"/>
          <w:sz w:val="28"/>
          <w:szCs w:val="28"/>
        </w:rPr>
        <w:t xml:space="preserve">6.2 The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BYPASSRLS exists in exactly one place — the analytics_writer role used by scheduled jobs. </w:t>
            </w:r>
            <w:r>
              <w:rPr>
                <w:rFonts w:ascii="Arial" w:cs="Arial" w:eastAsia="Arial" w:hAnsi="Arial"/>
                <w:color w:val="0F172A"/>
                <w:sz w:val="22"/>
                <w:szCs w:val="22"/>
              </w:rPr>
              <w:t xml:space="preserve">Every other pathway, including admin, goes through standard RLS with explicit tenant scoping. This means even a catastrophic SQL injection in an admin endpoint can't return cross-tenant data — RLS would still apply.</w:t>
            </w:r>
          </w:p>
        </w:tc>
      </w:tr>
    </w:tbl>
    <w:p>
      <w:pPr>
        <w:pStyle w:val="Heading2"/>
        <w:spacing w:after="120" w:before="280"/>
      </w:pPr>
      <w:r>
        <w:rPr>
          <w:rFonts w:ascii="Arial" w:cs="Arial" w:eastAsia="Arial" w:hAnsi="Arial"/>
          <w:b/>
          <w:bCs/>
          <w:color w:val="0F172A"/>
          <w:sz w:val="28"/>
          <w:szCs w:val="28"/>
        </w:rPr>
        <w:t xml:space="preserve">6.3 Admin pathway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300"/>
        <w:gridCol w:w="22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8.38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Admin pathway uses Pattern 3. Tenant-scoped sessions are the default for admin work. Cross-tenant analytics live in pre-aggregated tables. No BYPASSRLS in normal admin pathways.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8.39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Admin tenant-scoped sessions: admin operator picks a tenant in the admin UI, backend sets app.tenant_id to that tenant_id for that session/request, queries flow through standard RLS. To switch tenants, operator explicitly switches in the UI.</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8.40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Admin actions are audit-logged. Every admin session that sets app.tenant_id writes a row to admin_audit_log: admin_user_id, tenant_id_inspected, action_type (read/write), timestamp, request_id. Audit log is append-only.</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8.41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Cross-tenant analytics tables (admin_analytics_*): populated by scheduled jobs running with elevated privileges. Admin UI reads from these tables for queries like MRR, tenant count, churn, support volume. The admin UI never runs live cross-tenant queries.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8.42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Aggregation jobs that populate admin_analytics_* run with a dedicated Postgres role (analytics_writer) that has BYPASSRLS. This role is used ONLY by scheduled jobs, never by interactive admin sessions. Credentials are managed separately from admin operator credentials.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8.43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Schedule for analytics aggregation jobs: nightly (folded into the 2am batch from Lock 6.45 where appropriate) for slow-changing metrics; hourly for faster-moving ones (active tenant count, support ticket volume). Specific cadences deferred to admin portal workstream.</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Logged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8.44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Admin write actions ALSO go through the scoped-tenant session pattern. The admin sets app.tenant_id to the target tenant, performs the write through normal RLS, and the audit log captures it. NOT through BYPASSRLS.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8.45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The principle: BYPASSRLS exists in exactly one place — the analytics_writer role used by scheduled jobs. Every other pathway, including admin, goes through standard RLS with explicit tenant scoping.</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 as cross-cutting principle</w:t>
            </w:r>
          </w:p>
        </w:tc>
      </w:tr>
    </w:tbl>
    <w:p>
      <w:r>
        <w:br w:type="page"/>
      </w:r>
    </w:p>
    <w:p>
      <w:pPr>
        <w:pStyle w:val="Heading1"/>
        <w:spacing w:after="160" w:before="360"/>
      </w:pPr>
      <w:r>
        <w:rPr>
          <w:rFonts w:ascii="Arial" w:cs="Arial" w:eastAsia="Arial" w:hAnsi="Arial"/>
          <w:b/>
          <w:bCs/>
          <w:color w:val="0F172A"/>
          <w:sz w:val="36"/>
          <w:szCs w:val="36"/>
        </w:rPr>
        <w:t xml:space="preserve">7. RLS policy templates</w:t>
      </w:r>
    </w:p>
    <w:p>
      <w:pPr>
        <w:spacing w:after="80" w:before="80" w:line="300"/>
      </w:pPr>
      <w:r>
        <w:rPr>
          <w:rFonts w:ascii="Arial" w:cs="Arial" w:eastAsia="Arial" w:hAnsi="Arial"/>
          <w:color w:val="0F172A"/>
          <w:sz w:val="22"/>
          <w:szCs w:val="22"/>
        </w:rPr>
        <w:t xml:space="preserve">Workstream 8c Q2 locked four canonical RLS templates. Every new table is reviewed against these templates. Deviations require written justification.</w:t>
      </w:r>
    </w:p>
    <w:p>
      <w:pPr>
        <w:pStyle w:val="Heading2"/>
        <w:spacing w:after="120" w:before="280"/>
      </w:pPr>
      <w:r>
        <w:rPr>
          <w:rFonts w:ascii="Arial" w:cs="Arial" w:eastAsia="Arial" w:hAnsi="Arial"/>
          <w:b/>
          <w:bCs/>
          <w:color w:val="0F172A"/>
          <w:sz w:val="28"/>
          <w:szCs w:val="28"/>
        </w:rPr>
        <w:t xml:space="preserve">7.1 Pattern T1 — Tenant-scoped table (the default)</w:t>
      </w:r>
    </w:p>
    <w:p>
      <w:pPr>
        <w:spacing w:after="80" w:before="80" w:line="300"/>
      </w:pPr>
      <w:r>
        <w:rPr>
          <w:rFonts w:ascii="Arial" w:cs="Arial" w:eastAsia="Arial" w:hAnsi="Arial"/>
          <w:color w:val="0F172A"/>
          <w:sz w:val="22"/>
          <w:szCs w:val="22"/>
        </w:rPr>
        <w:t xml:space="preserve">Used for: purchase_orders, receipts, receipt_lines, inventory_items, inventory_movements, recipes, menu_items, sales, tenant_suppliers, idempotency_keys, timeline, forecast_params, sessions.</w:t>
      </w:r>
    </w:p>
    <w:p>
      <w:pPr>
        <w:shd w:fill="F8FAFC" w:val="clear"/>
        <w:spacing w:after="80" w:before="80" w:line="280"/>
      </w:pPr>
      <w:r>
        <w:rPr>
          <w:rFonts w:ascii="Courier New" w:cs="Courier New" w:eastAsia="Courier New" w:hAnsi="Courier New"/>
          <w:color w:val="0F172A"/>
          <w:sz w:val="18"/>
          <w:szCs w:val="18"/>
        </w:rPr>
        <w:t xml:space="preserve">ALTER TABLE purchase_orders ENABLE ROW LEVEL SECURITY;</w:t>
      </w:r>
    </w:p>
    <w:p>
      <w:pPr>
        <w:shd w:fill="F8FAFC" w:val="clear"/>
        <w:spacing w:after="80" w:before="80" w:line="280"/>
      </w:pPr>
      <w:r>
        <w:rPr>
          <w:rFonts w:ascii="Courier New" w:cs="Courier New" w:eastAsia="Courier New" w:hAnsi="Courier New"/>
          <w:color w:val="0F172A"/>
          <w:sz w:val="18"/>
          <w:szCs w:val="18"/>
        </w:rPr>
        <w:t xml:space="preserve"/>
      </w:r>
    </w:p>
    <w:p>
      <w:pPr>
        <w:shd w:fill="F8FAFC" w:val="clear"/>
        <w:spacing w:after="80" w:before="80" w:line="280"/>
      </w:pPr>
      <w:r>
        <w:rPr>
          <w:rFonts w:ascii="Courier New" w:cs="Courier New" w:eastAsia="Courier New" w:hAnsi="Courier New"/>
          <w:color w:val="0F172A"/>
          <w:sz w:val="18"/>
          <w:szCs w:val="18"/>
        </w:rPr>
        <w:t xml:space="preserve">CREATE POLICY tenant_isolation ON purchase_orders</w:t>
      </w:r>
    </w:p>
    <w:p>
      <w:pPr>
        <w:shd w:fill="F8FAFC" w:val="clear"/>
        <w:spacing w:after="80" w:before="80" w:line="280"/>
      </w:pPr>
      <w:r>
        <w:rPr>
          <w:rFonts w:ascii="Courier New" w:cs="Courier New" w:eastAsia="Courier New" w:hAnsi="Courier New"/>
          <w:color w:val="0F172A"/>
          <w:sz w:val="18"/>
          <w:szCs w:val="18"/>
        </w:rPr>
        <w:t xml:space="preserve">  FOR ALL</w:t>
      </w:r>
    </w:p>
    <w:p>
      <w:pPr>
        <w:shd w:fill="F8FAFC" w:val="clear"/>
        <w:spacing w:after="80" w:before="80" w:line="280"/>
      </w:pPr>
      <w:r>
        <w:rPr>
          <w:rFonts w:ascii="Courier New" w:cs="Courier New" w:eastAsia="Courier New" w:hAnsi="Courier New"/>
          <w:color w:val="0F172A"/>
          <w:sz w:val="18"/>
          <w:szCs w:val="18"/>
        </w:rPr>
        <w:t xml:space="preserve">  USING (tenant_id = current_setting('app.tenant_id', true)::uuid)</w:t>
      </w:r>
    </w:p>
    <w:p>
      <w:pPr>
        <w:shd w:fill="F8FAFC" w:val="clear"/>
        <w:spacing w:after="80" w:before="80" w:line="280"/>
      </w:pPr>
      <w:r>
        <w:rPr>
          <w:rFonts w:ascii="Courier New" w:cs="Courier New" w:eastAsia="Courier New" w:hAnsi="Courier New"/>
          <w:color w:val="0F172A"/>
          <w:sz w:val="18"/>
          <w:szCs w:val="18"/>
        </w:rPr>
        <w:t xml:space="preserve">  WITH CHECK (tenant_id = current_setting('app.tenant_id', true)::uuid);</w:t>
      </w:r>
    </w:p>
    <w:p>
      <w:pPr>
        <w:spacing w:after="80" w:before="80" w:line="300"/>
      </w:pPr>
      <w:r>
        <w:rPr>
          <w:rFonts w:ascii="Arial" w:cs="Arial" w:eastAsia="Arial" w:hAnsi="Arial"/>
          <w:color w:val="0F172A"/>
          <w:sz w:val="22"/>
          <w:szCs w:val="22"/>
        </w:rPr>
        <w:t xml:space="preserve">The USING clause filters reads. The WITH CHECK clause filters writes (any INSERT/UPDATE must set tenant_id to the session's tenant_id). The 'true' second argument to current_setting makes it return NULL if unset, which combined with the equality comparison means an unset session variable returns zero rows.</w:t>
      </w:r>
    </w:p>
    <w:p>
      <w:pPr>
        <w:pStyle w:val="Heading2"/>
        <w:spacing w:after="120" w:before="280"/>
      </w:pPr>
      <w:r>
        <w:rPr>
          <w:rFonts w:ascii="Arial" w:cs="Arial" w:eastAsia="Arial" w:hAnsi="Arial"/>
          <w:b/>
          <w:bCs/>
          <w:color w:val="0F172A"/>
          <w:sz w:val="28"/>
          <w:szCs w:val="28"/>
        </w:rPr>
        <w:t xml:space="preserve">7.2 Pattern T2 — Master read-only table</w:t>
      </w:r>
    </w:p>
    <w:p>
      <w:pPr>
        <w:spacing w:after="80" w:before="80" w:line="300"/>
      </w:pPr>
      <w:r>
        <w:rPr>
          <w:rFonts w:ascii="Arial" w:cs="Arial" w:eastAsia="Arial" w:hAnsi="Arial"/>
          <w:color w:val="0F172A"/>
          <w:sz w:val="22"/>
          <w:szCs w:val="22"/>
        </w:rPr>
        <w:t xml:space="preserve">Used for: ingredients_master, recipes_master, suppliers_master, locations, holidays, weather_observations, weather_forecasts, events, ocr_thresholds.</w:t>
      </w:r>
    </w:p>
    <w:p>
      <w:pPr>
        <w:shd w:fill="F8FAFC" w:val="clear"/>
        <w:spacing w:after="80" w:before="80" w:line="280"/>
      </w:pPr>
      <w:r>
        <w:rPr>
          <w:rFonts w:ascii="Courier New" w:cs="Courier New" w:eastAsia="Courier New" w:hAnsi="Courier New"/>
          <w:color w:val="0F172A"/>
          <w:sz w:val="18"/>
          <w:szCs w:val="18"/>
        </w:rPr>
        <w:t xml:space="preserve">ALTER TABLE ingredients_master ENABLE ROW LEVEL SECURITY;</w:t>
      </w:r>
    </w:p>
    <w:p>
      <w:pPr>
        <w:shd w:fill="F8FAFC" w:val="clear"/>
        <w:spacing w:after="80" w:before="80" w:line="280"/>
      </w:pPr>
      <w:r>
        <w:rPr>
          <w:rFonts w:ascii="Courier New" w:cs="Courier New" w:eastAsia="Courier New" w:hAnsi="Courier New"/>
          <w:color w:val="0F172A"/>
          <w:sz w:val="18"/>
          <w:szCs w:val="18"/>
        </w:rPr>
        <w:t xml:space="preserve"/>
      </w:r>
    </w:p>
    <w:p>
      <w:pPr>
        <w:shd w:fill="F8FAFC" w:val="clear"/>
        <w:spacing w:after="80" w:before="80" w:line="280"/>
      </w:pPr>
      <w:r>
        <w:rPr>
          <w:rFonts w:ascii="Courier New" w:cs="Courier New" w:eastAsia="Courier New" w:hAnsi="Courier New"/>
          <w:color w:val="0F172A"/>
          <w:sz w:val="18"/>
          <w:szCs w:val="18"/>
        </w:rPr>
        <w:t xml:space="preserve">CREATE POLICY tenant_read_only ON ingredients_master</w:t>
      </w:r>
    </w:p>
    <w:p>
      <w:pPr>
        <w:shd w:fill="F8FAFC" w:val="clear"/>
        <w:spacing w:after="80" w:before="80" w:line="280"/>
      </w:pPr>
      <w:r>
        <w:rPr>
          <w:rFonts w:ascii="Courier New" w:cs="Courier New" w:eastAsia="Courier New" w:hAnsi="Courier New"/>
          <w:color w:val="0F172A"/>
          <w:sz w:val="18"/>
          <w:szCs w:val="18"/>
        </w:rPr>
        <w:t xml:space="preserve">  FOR SELECT</w:t>
      </w:r>
    </w:p>
    <w:p>
      <w:pPr>
        <w:shd w:fill="F8FAFC" w:val="clear"/>
        <w:spacing w:after="80" w:before="80" w:line="280"/>
      </w:pPr>
      <w:r>
        <w:rPr>
          <w:rFonts w:ascii="Courier New" w:cs="Courier New" w:eastAsia="Courier New" w:hAnsi="Courier New"/>
          <w:color w:val="0F172A"/>
          <w:sz w:val="18"/>
          <w:szCs w:val="18"/>
        </w:rPr>
        <w:t xml:space="preserve">  USING (true);</w:t>
      </w:r>
    </w:p>
    <w:p>
      <w:pPr>
        <w:shd w:fill="F8FAFC" w:val="clear"/>
        <w:spacing w:after="80" w:before="80" w:line="280"/>
      </w:pPr>
      <w:r>
        <w:rPr>
          <w:rFonts w:ascii="Courier New" w:cs="Courier New" w:eastAsia="Courier New" w:hAnsi="Courier New"/>
          <w:color w:val="0F172A"/>
          <w:sz w:val="18"/>
          <w:szCs w:val="18"/>
        </w:rPr>
        <w:t xml:space="preserve"/>
      </w:r>
    </w:p>
    <w:p>
      <w:pPr>
        <w:shd w:fill="F8FAFC" w:val="clear"/>
        <w:spacing w:after="80" w:before="80" w:line="280"/>
      </w:pPr>
      <w:r>
        <w:rPr>
          <w:rFonts w:ascii="Courier New" w:cs="Courier New" w:eastAsia="Courier New" w:hAnsi="Courier New"/>
          <w:color w:val="0F172A"/>
          <w:sz w:val="18"/>
          <w:szCs w:val="18"/>
        </w:rPr>
        <w:t xml:space="preserve">-- No INSERT/UPDATE/DELETE policy means non-admin tenants cannot write.</w:t>
      </w:r>
    </w:p>
    <w:p>
      <w:pPr>
        <w:shd w:fill="F8FAFC" w:val="clear"/>
        <w:spacing w:after="80" w:before="80" w:line="280"/>
      </w:pPr>
      <w:r>
        <w:rPr>
          <w:rFonts w:ascii="Courier New" w:cs="Courier New" w:eastAsia="Courier New" w:hAnsi="Courier New"/>
          <w:color w:val="0F172A"/>
          <w:sz w:val="18"/>
          <w:szCs w:val="18"/>
        </w:rPr>
        <w:t xml:space="preserve">-- Admin writes happen through analytics_writer role or are gated</w:t>
      </w:r>
    </w:p>
    <w:p>
      <w:pPr>
        <w:shd w:fill="F8FAFC" w:val="clear"/>
        <w:spacing w:after="80" w:before="80" w:line="280"/>
      </w:pPr>
      <w:r>
        <w:rPr>
          <w:rFonts w:ascii="Courier New" w:cs="Courier New" w:eastAsia="Courier New" w:hAnsi="Courier New"/>
          <w:color w:val="0F172A"/>
          <w:sz w:val="18"/>
          <w:szCs w:val="18"/>
        </w:rPr>
        <w:t xml:space="preserve">-- through admin endpoints with explicit policies.</w:t>
      </w:r>
    </w:p>
    <w:p>
      <w:pPr>
        <w:pStyle w:val="Heading2"/>
        <w:spacing w:after="120" w:before="280"/>
      </w:pPr>
      <w:r>
        <w:rPr>
          <w:rFonts w:ascii="Arial" w:cs="Arial" w:eastAsia="Arial" w:hAnsi="Arial"/>
          <w:b/>
          <w:bCs/>
          <w:color w:val="0F172A"/>
          <w:sz w:val="28"/>
          <w:szCs w:val="28"/>
        </w:rPr>
        <w:t xml:space="preserve">7.3 Pattern T3 — Tenant-scoped with master cross-reference</w:t>
      </w:r>
    </w:p>
    <w:p>
      <w:pPr>
        <w:spacing w:after="80" w:before="80" w:line="300"/>
      </w:pPr>
      <w:r>
        <w:rPr>
          <w:rFonts w:ascii="Arial" w:cs="Arial" w:eastAsia="Arial" w:hAnsi="Arial"/>
          <w:color w:val="0F172A"/>
          <w:sz w:val="22"/>
          <w:szCs w:val="22"/>
        </w:rPr>
        <w:t xml:space="preserve">Used for: tenant_suppliers (references suppliers_master), recipes (references recipes_master and ingredients_master).</w:t>
      </w:r>
    </w:p>
    <w:p>
      <w:pPr>
        <w:spacing w:after="80" w:before="80" w:line="300"/>
      </w:pPr>
      <w:r>
        <w:rPr>
          <w:rFonts w:ascii="Arial" w:cs="Arial" w:eastAsia="Arial" w:hAnsi="Arial"/>
          <w:color w:val="0F172A"/>
          <w:sz w:val="22"/>
          <w:szCs w:val="22"/>
        </w:rPr>
        <w:t xml:space="preserve">These follow Pattern T1 for their own table (RLS on tenant_id). The cross-reference is a foreign key that RLS doesn't need to enforce — Pattern T2 already protects the master tables from being modified, and reading is allowed.</w:t>
      </w:r>
    </w:p>
    <w:p>
      <w:pPr>
        <w:pStyle w:val="Heading2"/>
        <w:spacing w:after="120" w:before="280"/>
      </w:pPr>
      <w:r>
        <w:rPr>
          <w:rFonts w:ascii="Arial" w:cs="Arial" w:eastAsia="Arial" w:hAnsi="Arial"/>
          <w:b/>
          <w:bCs/>
          <w:color w:val="0F172A"/>
          <w:sz w:val="28"/>
          <w:szCs w:val="28"/>
        </w:rPr>
        <w:t xml:space="preserve">7.4 Pattern T4 — Special cases (named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Table</w:t>
            </w:r>
          </w:p>
        </w:tc>
        <w:tc>
          <w:tcPr>
            <w:tcW w:type="dxa" w:w="71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Bespoke policy</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tenants</w:t>
            </w:r>
          </w:p>
        </w:tc>
        <w:tc>
          <w:tcPr>
            <w:tcW w:type="dxa" w:w="7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USING (tenant_id = current_setting('app.tenant_id', true)::uuid). Same as T1, but the table holds tenant identity.</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admin_audit_log</w:t>
            </w:r>
          </w:p>
        </w:tc>
        <w:tc>
          <w:tcPr>
            <w:tcW w:type="dxa" w:w="7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Admins can INSERT (writes happen automatically); admins can SELECT only their own audit rows; tenants cannot access at all.</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idempotency_keys</w:t>
            </w:r>
          </w:p>
        </w:tc>
        <w:tc>
          <w:tcPr>
            <w:tcW w:type="dxa" w:w="7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Tenant-scoped (T1), with additional constraint: keys are scoped per-request — a key from session A is never visible to session B even within the same tenant.</w:t>
            </w:r>
          </w:p>
        </w:tc>
      </w:tr>
    </w:tbl>
    <w:p>
      <w:pPr>
        <w:pStyle w:val="Heading2"/>
        <w:spacing w:after="120" w:before="280"/>
      </w:pPr>
      <w:r>
        <w:rPr>
          <w:rFonts w:ascii="Arial" w:cs="Arial" w:eastAsia="Arial" w:hAnsi="Arial"/>
          <w:b/>
          <w:bCs/>
          <w:color w:val="0F172A"/>
          <w:sz w:val="28"/>
          <w:szCs w:val="28"/>
        </w:rPr>
        <w:t xml:space="preserve">7.5 RLS templates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300"/>
        <w:gridCol w:w="22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8.46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RLS policy templates: T1 (tenant-scoped), T2 (master read-only), T3 (tenant-scoped with master cross-reference), T4 (special cases — bespoke). Every new table is reviewed against these templates. Deviations require written justification.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8.47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Pattern T1 specification: ENABLE ROW LEVEL SECURITY + FOR ALL policy with USING (tenant_id = current_setting('app.tenant_id', true)::uuid) and matching WITH CHECK. The 'true' second arg means unset session variable returns NULL → query returns zero rows → fail-safe.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8.48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Pattern T2 specification: ENABLE ROW LEVEL SECURITY + FOR SELECT USING (true) for tenant clients. No INSERT/UPDATE/DELETE policy for tenant clients means writes are blocked at the database level. Admin writes go through analytics_writer role or explicit admin-only policies.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8.49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Pattern T3 specification: same as T1 for the table's own rows; FK cross-reference to master tables is unrestricted because T2 already protects master from tenant writes.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8.50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Pattern T4 — bespoke policies — applies to tenants table (self-row only), admin_audit_log (admin-write, admin-self-read, tenants-no-access), and any future special cases. Each T4 table has its policy specified individually with rationale.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8.51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 migration that adds a tenant-scoped table without an RLS policy is a CI failure. Migration tooling enforces 'every new table either has RLS enabled with a policy, OR is explicitly excluded with a comment justifying why.'</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8.52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Cross-table queries (joins) work transparently: RLS filters each table independently. A join across purchase_orders and receipts both filter by app.tenant_id, so the join only returns tenant-scoped rows.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 clarification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8.53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Connection pooler (Lock 8.26) sets app.tenant_id on every checkout via SET LOCAL app.tenant_id = ... inside the transaction the request runs in. SET LOCAL is transaction-scoped — automatically cleared when the transaction ends.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bl>
    <w:p>
      <w:r>
        <w:br w:type="page"/>
      </w:r>
    </w:p>
    <w:p>
      <w:pPr>
        <w:pStyle w:val="Heading1"/>
        <w:spacing w:after="160" w:before="360"/>
      </w:pPr>
      <w:r>
        <w:rPr>
          <w:rFonts w:ascii="Arial" w:cs="Arial" w:eastAsia="Arial" w:hAnsi="Arial"/>
          <w:b/>
          <w:bCs/>
          <w:color w:val="0F172A"/>
          <w:sz w:val="36"/>
          <w:szCs w:val="36"/>
        </w:rPr>
        <w:t xml:space="preserve">8. Indexing philosophy</w:t>
      </w:r>
    </w:p>
    <w:p>
      <w:pPr>
        <w:spacing w:after="80" w:before="80" w:line="300"/>
      </w:pPr>
      <w:r>
        <w:rPr>
          <w:rFonts w:ascii="Arial" w:cs="Arial" w:eastAsia="Arial" w:hAnsi="Arial"/>
          <w:color w:val="0F172A"/>
          <w:sz w:val="22"/>
          <w:szCs w:val="22"/>
        </w:rPr>
        <w:t xml:space="preserve">Workstream 8d Q1 locked Philosophy C: index defensively for known query patterns from Workstream 1–7 locks + universal multi-tenant patterns; add reactively from pg_stat_statements observability beyond that.</w:t>
      </w:r>
    </w:p>
    <w:p>
      <w:pPr>
        <w:pStyle w:val="Heading2"/>
        <w:spacing w:after="120" w:before="280"/>
      </w:pPr>
      <w:r>
        <w:rPr>
          <w:rFonts w:ascii="Arial" w:cs="Arial" w:eastAsia="Arial" w:hAnsi="Arial"/>
          <w:b/>
          <w:bCs/>
          <w:color w:val="0F172A"/>
          <w:sz w:val="28"/>
          <w:szCs w:val="28"/>
        </w:rPr>
        <w:t xml:space="preserve">8.1 Universal patterns (apply to most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Pattern</w:t>
            </w:r>
          </w:p>
        </w:tc>
        <w:tc>
          <w:tcPr>
            <w:tcW w:type="dxa" w:w="5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Why</w:t>
            </w:r>
          </w:p>
        </w:tc>
      </w:tr>
      <w:tr>
        <w:tc>
          <w:tcPr>
            <w:tcW w:type="dxa" w:w="4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(tenant_id, created_at DESC)</w:t>
            </w:r>
          </w:p>
        </w:tc>
        <w:tc>
          <w:tcPr>
            <w:tcW w:type="dxa" w:w="5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History/recent-first queries. The default for any table without other obvious patterns.</w:t>
            </w:r>
          </w:p>
        </w:tc>
      </w:tr>
      <w:tr>
        <w:tc>
          <w:tcPr>
            <w:tcW w:type="dxa" w:w="4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tenant_id is always the leading column on composite indexes</w:t>
            </w:r>
          </w:p>
        </w:tc>
        <w:tc>
          <w:tcPr>
            <w:tcW w:type="dxa" w:w="5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RLS filters by tenant_id first; Postgres can prune index scans by tenant before considering other predicates.</w:t>
            </w:r>
          </w:p>
        </w:tc>
      </w:tr>
      <w:tr>
        <w:tc>
          <w:tcPr>
            <w:tcW w:type="dxa" w:w="4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Foreign keys are always indexed</w:t>
            </w:r>
          </w:p>
        </w:tc>
        <w:tc>
          <w:tcPr>
            <w:tcW w:type="dxa" w:w="5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Postgres does NOT do this automatically. Every FK column gets a covering index, often as part of a composite.</w:t>
            </w:r>
          </w:p>
        </w:tc>
      </w:tr>
      <w:tr>
        <w:tc>
          <w:tcPr>
            <w:tcW w:type="dxa" w:w="4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Timestamp columns used for ordering are indexed DESC where dominant query is 'newest first'</w:t>
            </w:r>
          </w:p>
        </w:tc>
        <w:tc>
          <w:tcPr>
            <w:tcW w:type="dxa" w:w="5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Postgres can use either direction efficiently, but DESC matches our access pattern.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The most common multi-tenant indexing mistake. </w:t>
            </w:r>
            <w:r>
              <w:rPr>
                <w:rFonts w:ascii="Arial" w:cs="Arial" w:eastAsia="Arial" w:hAnsi="Arial"/>
                <w:color w:val="0F172A"/>
                <w:sz w:val="22"/>
                <w:szCs w:val="22"/>
              </w:rPr>
              <w:t xml:space="preserve">Engineers who haven't worked in multi-tenant systems often write CREATE INDEX ... ON purchase_orders (state, tenant_id) because the query filters by state. Postgres CAN use that index, but inefficiently — it scans every state across all tenants and then filters. The right index is (tenant_id, state) because it scopes to tenant first, then filters by state within. This matters at scale; codifying it as Lock 8.56 prevents the mistake from accumulating across tables.</w:t>
            </w:r>
          </w:p>
        </w:tc>
      </w:tr>
    </w:tbl>
    <w:p>
      <w:pPr>
        <w:pStyle w:val="Heading2"/>
        <w:spacing w:after="120" w:before="280"/>
      </w:pPr>
      <w:r>
        <w:rPr>
          <w:rFonts w:ascii="Arial" w:cs="Arial" w:eastAsia="Arial" w:hAnsi="Arial"/>
          <w:b/>
          <w:bCs/>
          <w:color w:val="0F172A"/>
          <w:sz w:val="28"/>
          <w:szCs w:val="28"/>
        </w:rPr>
        <w:t xml:space="preserve">8.2 Lock-derived indexes for v1</w:t>
      </w:r>
    </w:p>
    <w:p>
      <w:pPr>
        <w:spacing w:after="80" w:before="80" w:line="300"/>
      </w:pPr>
      <w:r>
        <w:rPr>
          <w:rFonts w:ascii="Arial" w:cs="Arial" w:eastAsia="Arial" w:hAnsi="Arial"/>
          <w:color w:val="0F172A"/>
          <w:sz w:val="22"/>
          <w:szCs w:val="22"/>
        </w:rPr>
        <w:t xml:space="preserve">31 named indexes across the v1 schema, derived from query patterns locked in Workstreams 1–7. Storage overhead is manageable. Write overhead is acceptable on the high-volume tables (inventory_movements is the highest-volume; it has 4 indexes which is reasonable).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Table</w:t>
            </w:r>
          </w:p>
        </w:tc>
        <w:tc>
          <w:tcPr>
            <w:tcW w:type="dxa" w:w="34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Index</w:t>
            </w:r>
          </w:p>
        </w:tc>
        <w:tc>
          <w:tcPr>
            <w:tcW w:type="dxa" w:w="37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Justification</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purchase_orders</w:t>
            </w:r>
          </w:p>
        </w:tc>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(tenant_id, state, updated_at DESC)</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Lock 7.41 Orders page tabs by state, sorted by recency. Lock 7.43 badge counts by state.</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purchase_orders</w:t>
            </w:r>
          </w:p>
        </w:tc>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(tenant_id, supplier_id, expected_delivery_date)</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Future supplier-grouped views; PO drafting respects supplier delivery cadence (v5 §33.2).</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purchase_orders</w:t>
            </w:r>
          </w:p>
        </w:tc>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(tenant_id, is_stale) WHERE is_stale = true</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Lock 7.34 stale flag query — partial index because is_stale = false is the common case.</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purchase_orders</w:t>
            </w:r>
          </w:p>
        </w:tc>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(tenant_id, expected_delivery_date) WHERE state = 'awaiting_receipt'</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Lock 7.43 Active tab badge — counts overdue awaiting_receipt POs.</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receipts</w:t>
            </w:r>
          </w:p>
        </w:tc>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(tenant_id, received_at DESC)</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History view of receipts.</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receipts</w:t>
            </w:r>
          </w:p>
        </w:tc>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(tenant_id, po_id)</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FK + drilling into a specific PO from Orders Completed (Lock 7.53).</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receipt_lines</w:t>
            </w:r>
          </w:p>
        </w:tc>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(receipt_id)</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FK back to parent receipt (joins on receipt detail view).</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receipt_lines</w:t>
            </w:r>
          </w:p>
        </w:tc>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(tenant_id, ingredient_id)</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Future supplier reliability tracking and Variance Report queries by ingredient.</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inventory_items</w:t>
            </w:r>
          </w:p>
        </w:tc>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(tenant_id, ingredient_id) UNIQUE</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One row per (tenant, ingredient). Unique constraint enforces invariant + serves as lookup index.</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inventory_items</w:t>
            </w:r>
          </w:p>
        </w:tc>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(tenant_id, supplier_id)</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Lock from v5 §33.1 — supplier-grouped Inventory page.</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inventory_movements</w:t>
            </w:r>
          </w:p>
        </w:tc>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(tenant_id, ingredient_id, recorded_at DESC)</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Movements history per ingredient (Lock 7.51). Also serves Lock 7.11's nightly ledger integrity sum.</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inventory_movements</w:t>
            </w:r>
          </w:p>
        </w:tc>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(tenant_id, source_id, source_type)</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Lock 6.31 polymorphic link back to originating event.</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inventory_movements</w:t>
            </w:r>
          </w:p>
        </w:tc>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(tenant_id, recorded_at DESC)</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Tenant-wide movements timeline.</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idempotency_keys</w:t>
            </w:r>
          </w:p>
        </w:tc>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(tenant_id, key) UNIQUE</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Lock 7.20 dedup before transaction. Unique constraint enforces dedup invariant.</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idempotency_keys</w:t>
            </w:r>
          </w:p>
        </w:tc>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(created_at)</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Lock 7.23 nightly cleanup of expired keys.</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sales</w:t>
            </w:r>
          </w:p>
        </w:tc>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(tenant_id, sold_at DESC)</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Sales page (Lock 7.52) and depletion calculation.</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sales</w:t>
            </w:r>
          </w:p>
        </w:tc>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(tenant_id, menu_item_id, sold_at DESC)</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Per-menu-item sales history; feeds yield learning.</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recipes</w:t>
            </w:r>
          </w:p>
        </w:tc>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(tenant_id, menu_item_id) UNIQUE</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One recipe per (tenant, menu_item).</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menu_items</w:t>
            </w:r>
          </w:p>
        </w:tc>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(tenant_id, source_pos_id)</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POS reconciliation (v5 §4.2).</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tenant_suppliers</w:t>
            </w:r>
          </w:p>
        </w:tc>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(tenant_id, supplier_id) UNIQUE</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One relationship row per (tenant, supplier).</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forecast_params</w:t>
            </w:r>
          </w:p>
        </w:tc>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(tenant_id, supplier_id)</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Per-supplier lead-time params (Lock 3.4).</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forecast_params</w:t>
            </w:r>
          </w:p>
        </w:tc>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(tenant_id) WHERE supplier_id IS NULL</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Tenant-wide params (safety multiplier, threshold offset).</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timeline</w:t>
            </w:r>
          </w:p>
        </w:tc>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(tenant_id, ingredient_id, projected_for)</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Hourly rows per (tenant, ingredient, hour). Lock 5.6 hourly granularity during business hours.</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timeline</w:t>
            </w:r>
          </w:p>
        </w:tc>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(tenant_id, projected_for) WHERE projected_for &gt;= NOW()</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Future-only timeline reads — common pattern for dashboard.</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weather_forecasts</w:t>
            </w:r>
          </w:p>
        </w:tc>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(location_id, forecast_for)</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Lock 8.36 location-keyed lookup.</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weather_observations</w:t>
            </w:r>
          </w:p>
        </w:tc>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(location_id, observed_at DESC)</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Historical weather backfill (Lock 5.16).</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events</w:t>
            </w:r>
          </w:p>
        </w:tc>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(location_id, event_at)</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Lock 8.36 location + radius queries on events.</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events</w:t>
            </w:r>
          </w:p>
        </w:tc>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PostGIS GiST index on geometry column</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Tenant-radius searches use lat/lng — separately indexed.</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holidays</w:t>
            </w:r>
          </w:p>
        </w:tc>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(region_code, holiday_date)</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Lock 8.28 province-keyed lookup.</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admin_audit_log</w:t>
            </w:r>
          </w:p>
        </w:tc>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(admin_user_id, timestamp DESC)</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Per-admin audit trail (Lock 8.40).</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admin_audit_log</w:t>
            </w:r>
          </w:p>
        </w:tc>
        <w:tc>
          <w:tcPr>
            <w:tcW w:type="dxa" w:w="3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(tenant_id_inspected, timestamp DESC)</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'Who inspected this tenant' queries.</w:t>
            </w:r>
          </w:p>
        </w:tc>
      </w:tr>
    </w:tbl>
    <w:p>
      <w:pPr>
        <w:pStyle w:val="Heading2"/>
        <w:spacing w:after="120" w:before="280"/>
      </w:pPr>
      <w:r>
        <w:rPr>
          <w:rFonts w:ascii="Arial" w:cs="Arial" w:eastAsia="Arial" w:hAnsi="Arial"/>
          <w:b/>
          <w:bCs/>
          <w:color w:val="0F172A"/>
          <w:sz w:val="28"/>
          <w:szCs w:val="28"/>
        </w:rPr>
        <w:t xml:space="preserve">8.3 Indexing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300"/>
        <w:gridCol w:w="22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8.54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Indexing philosophy: Philosophy C. Index defensively for known query patterns + universal multi-tenant patterns. Add reactively from pg_stat_statements observability beyond that.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8.55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Universal pattern 1: every tenant-scoped table has a composite index (tenant_id, created_at DESC) to support history/recent-first queries.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8.56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Universal pattern 2: tenant_id is always the leading column on composite indexes for tenant-scoped tables. RLS filters by tenant_id first; Postgres can prune index scans by tenant before considering other predicates.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 as cross-cutting principle</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8.57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Universal pattern 3: foreign keys are always indexed (Postgres does NOT do this automatically). Every FK column gets a covering index, often as part of a composite.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8.58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Universal pattern 4: timestamp columns used for ordering are indexed DESC where the dominant query is 'newest first.'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8.59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Lock-derived indexes for v1: 31 indexes across tenant-scoped, hybrid, master, and admin tables. Full list in Section 8.2 of this document. Implementation in initial migration files.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bl>
    <w:p>
      <w:r>
        <w:br w:type="page"/>
      </w:r>
    </w:p>
    <w:p>
      <w:pPr>
        <w:pStyle w:val="Heading1"/>
        <w:spacing w:after="160" w:before="360"/>
      </w:pPr>
      <w:r>
        <w:rPr>
          <w:rFonts w:ascii="Arial" w:cs="Arial" w:eastAsia="Arial" w:hAnsi="Arial"/>
          <w:b/>
          <w:bCs/>
          <w:color w:val="0F172A"/>
          <w:sz w:val="36"/>
          <w:szCs w:val="36"/>
        </w:rPr>
        <w:t xml:space="preserve">9. Primary keys, JSONB, deletion patterns</w:t>
      </w:r>
    </w:p>
    <w:p>
      <w:pPr>
        <w:spacing w:after="80" w:before="80" w:line="300"/>
      </w:pPr>
      <w:r>
        <w:rPr>
          <w:rFonts w:ascii="Arial" w:cs="Arial" w:eastAsia="Arial" w:hAnsi="Arial"/>
          <w:color w:val="0F172A"/>
          <w:sz w:val="22"/>
          <w:szCs w:val="22"/>
        </w:rPr>
        <w:t xml:space="preserve">Workstream 8d Q2 locked three cross-cutting decisions that affect every table in the schema.</w:t>
      </w:r>
    </w:p>
    <w:p>
      <w:pPr>
        <w:pStyle w:val="Heading2"/>
        <w:spacing w:after="120" w:before="280"/>
      </w:pPr>
      <w:r>
        <w:rPr>
          <w:rFonts w:ascii="Arial" w:cs="Arial" w:eastAsia="Arial" w:hAnsi="Arial"/>
          <w:b/>
          <w:bCs/>
          <w:color w:val="0F172A"/>
          <w:sz w:val="28"/>
          <w:szCs w:val="28"/>
        </w:rPr>
        <w:t xml:space="preserve">9.1 UUIDv7 primary keys throughout</w:t>
      </w:r>
    </w:p>
    <w:p>
      <w:pPr>
        <w:spacing w:after="80" w:before="80" w:line="300"/>
      </w:pPr>
      <w:r>
        <w:rPr>
          <w:rFonts w:ascii="Arial" w:cs="Arial" w:eastAsia="Arial" w:hAnsi="Arial"/>
          <w:color w:val="0F172A"/>
          <w:sz w:val="22"/>
          <w:szCs w:val="22"/>
        </w:rPr>
        <w:t xml:space="preserve">UUIDv7 (time-ordered random UUIDs) is the primary key strategy for all tables. Time-ordering provides better index locality than UUIDv4 (inserts cluster in cache instead of landing on random pages). UUIDs prevent cross-system collisions, avoid row-count leakage in API responses, and support distributed generation.</w:t>
      </w:r>
    </w:p>
    <w:p>
      <w:pPr>
        <w:pStyle w:val="Heading2"/>
        <w:spacing w:after="120" w:before="280"/>
      </w:pPr>
      <w:r>
        <w:rPr>
          <w:rFonts w:ascii="Arial" w:cs="Arial" w:eastAsia="Arial" w:hAnsi="Arial"/>
          <w:b/>
          <w:bCs/>
          <w:color w:val="0F172A"/>
          <w:sz w:val="28"/>
          <w:szCs w:val="28"/>
        </w:rPr>
        <w:t xml:space="preserve">9.2 JSONB vs normalized — the decision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Decision rule (Lock 8.64): when in doubt between JSONB and normalized, ask 'will we ever GROUP BY, aggregate, or filter on this field?' If yes, normalize. If no (it's only ever displayed), JSONB.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Use case</w:t>
            </w:r>
          </w:p>
        </w:tc>
        <w:tc>
          <w:tcPr>
            <w:tcW w:type="dxa" w:w="28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Storage</w:t>
            </w:r>
          </w:p>
        </w:tc>
        <w:tc>
          <w:tcPr>
            <w:tcW w:type="dxa" w:w="41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Why</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PO reasoning trace fields</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JSONB on purchase_orders</w:t>
            </w:r>
          </w:p>
        </w:tc>
        <w:tc>
          <w:tcPr>
            <w:tcW w:type="dxa" w:w="4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Display-only; rendered via templates per Lock 4.1.</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Receipt notes / line notes</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JSONB or TEXT</w:t>
            </w:r>
          </w:p>
        </w:tc>
        <w:tc>
          <w:tcPr>
            <w:tcW w:type="dxa" w:w="4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Free-form, rarely queried analytically.</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Confidence intervals on timeline rows</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JSONB</w:t>
            </w:r>
          </w:p>
        </w:tc>
        <w:tc>
          <w:tcPr>
            <w:tcW w:type="dxa" w:w="4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Displayed alongside the projection; not aggregated.</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Forecast parameters</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Normalized table (forecast_params)</w:t>
            </w:r>
          </w:p>
        </w:tc>
        <w:tc>
          <w:tcPr>
            <w:tcW w:type="dxa" w:w="4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Yield learning reads them, PO feedback writes them — analytical queries.</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Inventory movements</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Normalized table</w:t>
            </w:r>
          </w:p>
        </w:tc>
        <w:tc>
          <w:tcPr>
            <w:tcW w:type="dxa" w:w="4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Aggregated nightly for ledger integrity (Lock 7.11).</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Sales</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Normalized table</w:t>
            </w:r>
          </w:p>
        </w:tc>
        <w:tc>
          <w:tcPr>
            <w:tcW w:type="dxa" w:w="4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Aggregated for forecast input (consumption rates).</w:t>
            </w:r>
          </w:p>
        </w:tc>
      </w:tr>
    </w:tbl>
    <w:p>
      <w:pPr>
        <w:pStyle w:val="Heading2"/>
        <w:spacing w:after="120" w:before="280"/>
      </w:pPr>
      <w:r>
        <w:rPr>
          <w:rFonts w:ascii="Arial" w:cs="Arial" w:eastAsia="Arial" w:hAnsi="Arial"/>
          <w:b/>
          <w:bCs/>
          <w:color w:val="0F172A"/>
          <w:sz w:val="28"/>
          <w:szCs w:val="28"/>
        </w:rPr>
        <w:t xml:space="preserve">9.3 Deletion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Pattern</w:t>
            </w:r>
          </w:p>
        </w:tc>
        <w:tc>
          <w:tcPr>
            <w:tcW w:type="dxa" w:w="40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Applies to</w:t>
            </w:r>
          </w:p>
        </w:tc>
        <w:tc>
          <w:tcPr>
            <w:tcW w:type="dxa" w:w="35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Mechanism</w:t>
            </w:r>
          </w:p>
        </w:tc>
      </w:tr>
      <w:tr>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Soft delete</w:t>
            </w:r>
          </w:p>
        </w:tc>
        <w:tc>
          <w:tcPr>
            <w:tcW w:type="dxa" w:w="4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purchase_orders, recipes, menu_items, suppliers, tenants</w:t>
            </w:r>
          </w:p>
        </w:tc>
        <w:tc>
          <w:tcPr>
            <w:tcW w:type="dxa" w:w="3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deleted_at TIMESTAMPTZ column. RLS extended to filter AND deleted_at IS NULL.</w:t>
            </w:r>
          </w:p>
        </w:tc>
      </w:tr>
      <w:tr>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Hard delete</w:t>
            </w:r>
          </w:p>
        </w:tc>
        <w:tc>
          <w:tcPr>
            <w:tcW w:type="dxa" w:w="4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idempotency_keys past 24h TTL, expired session tokens, transient cache rows</w:t>
            </w:r>
          </w:p>
        </w:tc>
        <w:tc>
          <w:tcPr>
            <w:tcW w:type="dxa" w:w="3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DELETE FROM. Storage reclaimed.</w:t>
            </w:r>
          </w:p>
        </w:tc>
      </w:tr>
      <w:tr>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Append-only / never-delete</w:t>
            </w:r>
          </w:p>
        </w:tc>
        <w:tc>
          <w:tcPr>
            <w:tcW w:type="dxa" w:w="4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admin_audit_log, inventory_movements</w:t>
            </w:r>
          </w:p>
        </w:tc>
        <w:tc>
          <w:tcPr>
            <w:tcW w:type="dxa" w:w="3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No DELETE permitted by application. Code review enforces. Ledger integrity check (Lock 7.11) detects bypasses.</w:t>
            </w:r>
          </w:p>
        </w:tc>
      </w:tr>
    </w:tbl>
    <w:p>
      <w:pPr>
        <w:spacing w:after="80" w:before="80" w:line="300"/>
      </w:pPr>
      <w:r>
        <w:rPr>
          <w:rFonts w:ascii="Arial" w:cs="Arial" w:eastAsia="Arial" w:hAnsi="Arial"/>
          <w:color w:val="0F172A"/>
          <w:sz w:val="22"/>
          <w:szCs w:val="22"/>
        </w:rPr>
        <w:t xml:space="preserve">Tenants cannot restore their own soft deletes — that requires admin intervention (Lock 8.69). This is intentional: better to require an admin step than have tenants accidentally restoring things they didn't mean to. If beta data shows owners frequently asking support to restore deleted POs, the policy can be revisited.</w:t>
      </w:r>
    </w:p>
    <w:p>
      <w:pPr>
        <w:pStyle w:val="Heading2"/>
        <w:spacing w:after="120" w:before="280"/>
      </w:pPr>
      <w:r>
        <w:rPr>
          <w:rFonts w:ascii="Arial" w:cs="Arial" w:eastAsia="Arial" w:hAnsi="Arial"/>
          <w:b/>
          <w:bCs/>
          <w:color w:val="0F172A"/>
          <w:sz w:val="28"/>
          <w:szCs w:val="28"/>
        </w:rPr>
        <w:t xml:space="preserve">9.4 PKs/JSONB/deletion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300"/>
        <w:gridCol w:w="22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8.60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Primary key strategy: UUIDv7 (time-ordered random UUIDs) for all primary keys across the schema.</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8.61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UUIDv7 rationale: no cross-system collisions, no row-count leakage, better index locality than UUIDv4 due to time-ordering, generated client-side or server-side without coordination. Library: uuid-utils (Python) or equivalent supporting v7.</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8.62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JSONB use cases (read-once-and-display semi-structured data): PO reasoning trace fields on purchase_orders, receipt and receipt_line notes (or TEXT for fully free-form), confidence intervals on timeline rows.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8.63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Normalized tables for analytically-queried data: forecast_params, inventory_movements, sales, recipes, menu_items, all tenant-scoped business entities.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8.64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Decision rule: when in doubt between JSONB and normalized, ask 'will we ever GROUP BY, aggregate, or filter on this field?' If yes, normalize. If no, JSONB.</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 as cross-cutting principle</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8.65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Soft delete pattern (deleted_at) applies to: purchase_orders, recipes, menu_items, suppliers, tenants. Soft-deleted rows are filtered out by application logic and an additional WHERE clause in RLS policies.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8.66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Hard delete pattern applies to: idempotency_keys past 24h TTL, expired session tokens, transient cache rows.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8.67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Append-only / never-delete pattern applies to: admin_audit_log, inventory_movements, idempotency_keys before TTL expiration. Their immutability is the audit guarantee.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8.68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Soft-delete RLS policy modification: T1 template (Lock 8.47) is extended for soft-deleted tables to include AND deleted_at IS NULL in both USING and WITH CHECK clauses.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8.69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Recovery pattern for soft-deleted rows: bespoke admin endpoints can restore (UPDATE deleted_at = NULL) with audit-logged action. Tenants cannot restore their own deletes — they go through admin.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bl>
    <w:p>
      <w:r>
        <w:br w:type="page"/>
      </w:r>
    </w:p>
    <w:p>
      <w:pPr>
        <w:pStyle w:val="Heading1"/>
        <w:spacing w:after="160" w:before="360"/>
      </w:pPr>
      <w:r>
        <w:rPr>
          <w:rFonts w:ascii="Arial" w:cs="Arial" w:eastAsia="Arial" w:hAnsi="Arial"/>
          <w:b/>
          <w:bCs/>
          <w:color w:val="0F172A"/>
          <w:sz w:val="36"/>
          <w:szCs w:val="36"/>
        </w:rPr>
        <w:t xml:space="preserve">10. Migrations strategy</w:t>
      </w:r>
    </w:p>
    <w:p>
      <w:pPr>
        <w:spacing w:after="80" w:before="80" w:line="300"/>
      </w:pPr>
      <w:r>
        <w:rPr>
          <w:rFonts w:ascii="Arial" w:cs="Arial" w:eastAsia="Arial" w:hAnsi="Arial"/>
          <w:color w:val="0F172A"/>
          <w:sz w:val="22"/>
          <w:szCs w:val="22"/>
        </w:rPr>
        <w:t xml:space="preserve">Workstream 8e locked Philosophy C for migrations: online by default, scheduled downtime windows reserved for genuinely impossible migrations with explicit communication.</w:t>
      </w:r>
    </w:p>
    <w:p>
      <w:pPr>
        <w:pStyle w:val="Heading2"/>
        <w:spacing w:after="120" w:before="280"/>
      </w:pPr>
      <w:r>
        <w:rPr>
          <w:rFonts w:ascii="Arial" w:cs="Arial" w:eastAsia="Arial" w:hAnsi="Arial"/>
          <w:b/>
          <w:bCs/>
          <w:color w:val="0F172A"/>
          <w:sz w:val="28"/>
          <w:szCs w:val="28"/>
        </w:rPr>
        <w:t xml:space="preserve">10.1 Why online-by-default</w:t>
      </w:r>
    </w:p>
    <w:p>
      <w:pPr>
        <w:spacing w:after="80" w:before="80" w:line="300"/>
      </w:pPr>
      <w:r>
        <w:rPr>
          <w:rFonts w:ascii="Arial" w:cs="Arial" w:eastAsia="Arial" w:hAnsi="Arial"/>
          <w:color w:val="0F172A"/>
          <w:sz w:val="22"/>
          <w:szCs w:val="22"/>
        </w:rPr>
        <w:t xml:space="preserve">ReorderOS is intrinsically global. v5 §30 locked tenant-local timezone awareness — there is no '3am for everyone.' Toronto's 3am is Vancouver's midnight. A maintenance window that's convenient for one tenant disrupts another. Online migrations sidestep this entirely. Additionally, the agent runs at 2am tenant-local (Lock 6.45) — migrations during the agent's run window are dangerous because the agent is doing the heaviest work of the day.</w:t>
      </w:r>
    </w:p>
    <w:p>
      <w:pPr>
        <w:pStyle w:val="Heading2"/>
        <w:spacing w:after="120" w:before="280"/>
      </w:pPr>
      <w:r>
        <w:rPr>
          <w:rFonts w:ascii="Arial" w:cs="Arial" w:eastAsia="Arial" w:hAnsi="Arial"/>
          <w:b/>
          <w:bCs/>
          <w:color w:val="0F172A"/>
          <w:sz w:val="28"/>
          <w:szCs w:val="28"/>
        </w:rPr>
        <w:t xml:space="preserve">10.2 Online migration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Schema change</w:t>
            </w:r>
          </w:p>
        </w:tc>
        <w:tc>
          <w:tcPr>
            <w:tcW w:type="dxa" w:w="6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Pattern</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Add nullable column</w:t>
            </w:r>
          </w:p>
        </w:tc>
        <w:tc>
          <w:tcPr>
            <w:tcW w:type="dxa" w:w="6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Single migration; column is nullable from the start</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Add NOT NULL column</w:t>
            </w:r>
          </w:p>
        </w:tc>
        <w:tc>
          <w:tcPr>
            <w:tcW w:type="dxa" w:w="6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Multi-step: add nullable → backfill → validate → enforce NOT NULL</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Create index</w:t>
            </w:r>
          </w:p>
        </w:tc>
        <w:tc>
          <w:tcPr>
            <w:tcW w:type="dxa" w:w="6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CREATE INDEX CONCURRENTLY (always)</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Add foreign key</w:t>
            </w:r>
          </w:p>
        </w:tc>
        <w:tc>
          <w:tcPr>
            <w:tcW w:type="dxa" w:w="6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Two steps: ADD CONSTRAINT ... NOT VALID → VALIDATE CONSTRAINT</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Change column type</w:t>
            </w:r>
          </w:p>
        </w:tc>
        <w:tc>
          <w:tcPr>
            <w:tcW w:type="dxa" w:w="6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Shadow column + backfill + cutover (multi-deploy)</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Drop column</w:t>
            </w:r>
          </w:p>
        </w:tc>
        <w:tc>
          <w:tcPr>
            <w:tcW w:type="dxa" w:w="6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Multi-step: deploy code that doesn't reference column → drop in next migration</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Large data backfill</w:t>
            </w:r>
          </w:p>
        </w:tc>
        <w:tc>
          <w:tcPr>
            <w:tcW w:type="dxa" w:w="6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Batched (10K rows per transaction) with sleep intervals</w:t>
            </w:r>
          </w:p>
        </w:tc>
      </w:tr>
    </w:tbl>
    <w:p>
      <w:pPr>
        <w:pStyle w:val="Heading2"/>
        <w:spacing w:after="120" w:before="280"/>
      </w:pPr>
      <w:r>
        <w:rPr>
          <w:rFonts w:ascii="Arial" w:cs="Arial" w:eastAsia="Arial" w:hAnsi="Arial"/>
          <w:b/>
          <w:bCs/>
          <w:color w:val="0F172A"/>
          <w:sz w:val="28"/>
          <w:szCs w:val="28"/>
        </w:rPr>
        <w:t xml:space="preserve">10.3 Forward-only migrations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Down migrations are NOT maintained. </w:t>
            </w:r>
            <w:r>
              <w:rPr>
                <w:rFonts w:ascii="Arial" w:cs="Arial" w:eastAsia="Arial" w:hAnsi="Arial"/>
                <w:color w:val="0F172A"/>
                <w:sz w:val="22"/>
                <w:szCs w:val="22"/>
              </w:rPr>
              <w:t xml:space="preserve">Online-migration patterns make true reversibility nearly impossible — once you've dropped a column, you can't bring back its data. Recovery from a bad migration is via forward fix, not rollback. Database backups (sub-round 8g, deferred) are the recovery mechanism for catastrophic schema mistakes.</w:t>
            </w:r>
          </w:p>
        </w:tc>
      </w:tr>
    </w:tbl>
    <w:p>
      <w:pPr>
        <w:pStyle w:val="Heading2"/>
        <w:spacing w:after="120" w:before="280"/>
      </w:pPr>
      <w:r>
        <w:rPr>
          <w:rFonts w:ascii="Arial" w:cs="Arial" w:eastAsia="Arial" w:hAnsi="Arial"/>
          <w:b/>
          <w:bCs/>
          <w:color w:val="0F172A"/>
          <w:sz w:val="28"/>
          <w:szCs w:val="28"/>
        </w:rPr>
        <w:t xml:space="preserve">10.4 Migrations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300"/>
        <w:gridCol w:w="22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8.70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Migrations philosophy: Philosophy C. Online by default. Downtime windows are an explicit escape hatch reserved for migrations that genuinely cannot be done online.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8.71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Online migration patterns are codified in the team's migration playbook (referenced in CI tooling). NOT NULL added in steps; CREATE INDEX CONCURRENTLY; type changes via shadow column + cutover; FK additions use NOT VALID + VALIDATE.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8.72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When a migration genuinely cannot be online, downtime requires: written justification in the migration PR, advance notice to tenants (minimum 7 days for non-critical, 24h for critical fixes), explicit founder approval (Vito sign-off), scheduled outside the 2am tenant-local agent run window.</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8.73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Migrations affecting tenant-scoped tables include the RLS policy from the matching template (T1/T2/T3/T4 per Lock 8.46) in the same migration file. CI rejects migrations that add a tenant-scoped table without a policy.</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8.74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Migration tooling: Alembic (Lock 8.21) with custom hooks. Hooks check: every new table either has RLS or has a comment explicitly waiving it; every CREATE INDEX uses CONCURRENTLY unless the table is empty; NOT NULL constraints on existing tables are flagged for review.</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8.75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Migrations are forward-only. Down migrations are NOT maintained because online-migration patterns make true reversibility nearly impossible. Recovery from a bad migration is via forward fix, not rollback.</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8.76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Pre-deployment migration testing: every migration runs against a clone of production data in a staging environment before being deployed. Migrations that take &gt;30 seconds in staging are flagged for additional review.</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8.77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Multi-deploy migrations are explicitly tracked. Each step is a separate Alembic revision with a comment linking to the multi-step plan. The plan is documented in the PR description.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bl>
    <w:p>
      <w:r>
        <w:br w:type="page"/>
      </w:r>
    </w:p>
    <w:p>
      <w:pPr>
        <w:pStyle w:val="Heading1"/>
        <w:spacing w:after="160" w:before="360"/>
      </w:pPr>
      <w:r>
        <w:rPr>
          <w:rFonts w:ascii="Arial" w:cs="Arial" w:eastAsia="Arial" w:hAnsi="Arial"/>
          <w:b/>
          <w:bCs/>
          <w:color w:val="0F172A"/>
          <w:sz w:val="36"/>
          <w:szCs w:val="36"/>
        </w:rPr>
        <w:t xml:space="preserve">11. Compliance, retention, audit</w:t>
      </w:r>
    </w:p>
    <w:p>
      <w:pPr>
        <w:spacing w:after="80" w:before="80" w:line="300"/>
      </w:pPr>
      <w:r>
        <w:rPr>
          <w:rFonts w:ascii="Arial" w:cs="Arial" w:eastAsia="Arial" w:hAnsi="Arial"/>
          <w:color w:val="0F172A"/>
          <w:sz w:val="22"/>
          <w:szCs w:val="22"/>
        </w:rPr>
        <w:t xml:space="preserve">Workstream 8f locked the compliance posture for PIPEDA (Canadian federal privacy law) and Law 25 (Quebec's stricter, GDPR-equivalent privacy law). Both apply to ReorderOS because the initial market is Canada.</w:t>
      </w:r>
    </w:p>
    <w:p>
      <w:pPr>
        <w:pStyle w:val="Heading2"/>
        <w:spacing w:after="120" w:before="280"/>
      </w:pPr>
      <w:r>
        <w:rPr>
          <w:rFonts w:ascii="Arial" w:cs="Arial" w:eastAsia="Arial" w:hAnsi="Arial"/>
          <w:b/>
          <w:bCs/>
          <w:color w:val="0F172A"/>
          <w:sz w:val="28"/>
          <w:szCs w:val="28"/>
        </w:rPr>
        <w:t xml:space="preserve">11.1 Retention tiers — Approach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Data category</w:t>
            </w:r>
          </w:p>
        </w:tc>
        <w:tc>
          <w:tcPr>
            <w:tcW w:type="dxa" w:w="30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Retention while active</w:t>
            </w:r>
          </w:p>
        </w:tc>
        <w:tc>
          <w:tcPr>
            <w:tcW w:type="dxa" w:w="35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On account closure</w:t>
            </w:r>
          </w:p>
        </w:tc>
      </w:tr>
      <w:tr>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Tenant business data (POs, receipts, inventory, recipes, sales)</w:t>
            </w:r>
          </w:p>
        </w:tc>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Indefinite — necessary for forecast quality and tenant historical analysis</w:t>
            </w:r>
          </w:p>
        </w:tc>
        <w:tc>
          <w:tcPr>
            <w:tcW w:type="dxa" w:w="3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30-day grace period, then full deletion</w:t>
            </w:r>
          </w:p>
        </w:tc>
      </w:tr>
      <w:tr>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Soft-deleted business data</w:t>
            </w:r>
          </w:p>
        </w:tc>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30 days, then hard-deleted</w:t>
            </w:r>
          </w:p>
        </w:tc>
        <w:tc>
          <w:tcPr>
            <w:tcW w:type="dxa" w:w="3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Same as parent tenant</w:t>
            </w:r>
          </w:p>
        </w:tc>
      </w:tr>
      <w:tr>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Operational logs (request logs, error logs)</w:t>
            </w:r>
          </w:p>
        </w:tc>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90 days</w:t>
            </w:r>
          </w:p>
        </w:tc>
        <w:tc>
          <w:tcPr>
            <w:tcW w:type="dxa" w:w="3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Same</w:t>
            </w:r>
          </w:p>
        </w:tc>
      </w:tr>
      <w:tr>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Audit logs (admin_audit_log)</w:t>
            </w:r>
          </w:p>
        </w:tc>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2 years (regulatory minimum)</w:t>
            </w:r>
          </w:p>
        </w:tc>
        <w:tc>
          <w:tcPr>
            <w:tcW w:type="dxa" w:w="3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2 years from access date</w:t>
            </w:r>
          </w:p>
        </w:tc>
      </w:tr>
      <w:tr>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Sessions</w:t>
            </w:r>
          </w:p>
        </w:tc>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30 days</w:t>
            </w:r>
          </w:p>
        </w:tc>
        <w:tc>
          <w:tcPr>
            <w:tcW w:type="dxa" w:w="3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Same</w:t>
            </w:r>
          </w:p>
        </w:tc>
      </w:tr>
      <w:tr>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Idempotency keys</w:t>
            </w:r>
          </w:p>
        </w:tc>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24 hours per Lock 7.23</w:t>
            </w:r>
          </w:p>
        </w:tc>
        <w:tc>
          <w:tcPr>
            <w:tcW w:type="dxa" w:w="3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Same</w:t>
            </w:r>
          </w:p>
        </w:tc>
      </w:tr>
      <w:tr>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Aggregated anonymized metrics</w:t>
            </w:r>
          </w:p>
        </w:tc>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Indefinite</w:t>
            </w:r>
          </w:p>
        </w:tc>
        <w:tc>
          <w:tcPr>
            <w:tcW w:type="dxa" w:w="3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Retained — non-personal data after aggregation removes identifiers</w:t>
            </w:r>
          </w:p>
        </w:tc>
      </w:tr>
    </w:tbl>
    <w:p>
      <w:pPr>
        <w:pStyle w:val="Heading2"/>
        <w:spacing w:after="120" w:before="280"/>
      </w:pPr>
      <w:r>
        <w:rPr>
          <w:rFonts w:ascii="Arial" w:cs="Arial" w:eastAsia="Arial" w:hAnsi="Arial"/>
          <w:b/>
          <w:bCs/>
          <w:color w:val="0F172A"/>
          <w:sz w:val="28"/>
          <w:szCs w:val="28"/>
        </w:rPr>
        <w:t xml:space="preserve">11.2 Right-to-access and right-to-deletion (Pattern B)</w:t>
      </w:r>
    </w:p>
    <w:p>
      <w:pPr>
        <w:spacing w:after="80" w:before="80" w:line="300"/>
      </w:pPr>
      <w:r>
        <w:rPr>
          <w:rFonts w:ascii="Arial" w:cs="Arial" w:eastAsia="Arial" w:hAnsi="Arial"/>
          <w:color w:val="0F172A"/>
          <w:sz w:val="22"/>
          <w:szCs w:val="22"/>
        </w:rPr>
        <w:t xml:space="preserve">Self-service in Settings → Privacy &amp; Data. Two actions:</w:t>
      </w:r>
    </w:p>
    <w:p>
      <w:pPr>
        <w:pStyle w:val="ListParagraph"/>
        <w:numPr>
          <w:ilvl w:val="0"/>
          <w:numId w:val="2"/>
        </w:numPr>
        <w:spacing w:after="60" w:before="60" w:line="300"/>
      </w:pPr>
      <w:r>
        <w:rPr>
          <w:rFonts w:ascii="Arial" w:cs="Arial" w:eastAsia="Arial" w:hAnsi="Arial"/>
          <w:b/>
          <w:bCs/>
          <w:color w:val="0F172A"/>
          <w:sz w:val="22"/>
          <w:szCs w:val="22"/>
        </w:rPr>
        <w:t xml:space="preserve">Download my data: </w:t>
      </w:r>
      <w:r>
        <w:rPr>
          <w:rFonts w:ascii="Arial" w:cs="Arial" w:eastAsia="Arial" w:hAnsi="Arial"/>
          <w:color w:val="0F172A"/>
          <w:sz w:val="22"/>
          <w:szCs w:val="22"/>
        </w:rPr>
        <w:t xml:space="preserve">triggers async background job that queries every tenant-scoped table filtered by tenant_id, exports as a ZIP of CSV files (one per table) + a JSON manifest. Job completes within 24 hours; tenant receives email with secure signed download link. Links expire 7 days after generation.</w:t>
      </w:r>
    </w:p>
    <w:p>
      <w:pPr>
        <w:pStyle w:val="ListParagraph"/>
        <w:numPr>
          <w:ilvl w:val="0"/>
          <w:numId w:val="2"/>
        </w:numPr>
        <w:spacing w:after="60" w:before="60" w:line="300"/>
      </w:pPr>
      <w:r>
        <w:rPr>
          <w:rFonts w:ascii="Arial" w:cs="Arial" w:eastAsia="Arial" w:hAnsi="Arial"/>
          <w:b/>
          <w:bCs/>
          <w:color w:val="0F172A"/>
          <w:sz w:val="22"/>
          <w:szCs w:val="22"/>
        </w:rPr>
        <w:t xml:space="preserve">Delete my account: </w:t>
      </w:r>
      <w:r>
        <w:rPr>
          <w:rFonts w:ascii="Arial" w:cs="Arial" w:eastAsia="Arial" w:hAnsi="Arial"/>
          <w:color w:val="0F172A"/>
          <w:sz w:val="22"/>
          <w:szCs w:val="22"/>
        </w:rPr>
        <w:t xml:space="preserve">requires PIN re-confirmation per v5 §31. Triggers the closure flow (30-day grace period, then automated deletion). During grace period, tenant can reactivate by logging in. The confirmation screen shows a 'what gets deleted' summary.</w:t>
      </w:r>
    </w:p>
    <w:p>
      <w:pPr>
        <w:pStyle w:val="Heading2"/>
        <w:spacing w:after="120" w:before="280"/>
      </w:pPr>
      <w:r>
        <w:rPr>
          <w:rFonts w:ascii="Arial" w:cs="Arial" w:eastAsia="Arial" w:hAnsi="Arial"/>
          <w:b/>
          <w:bCs/>
          <w:color w:val="0F172A"/>
          <w:sz w:val="28"/>
          <w:szCs w:val="28"/>
        </w:rPr>
        <w:t xml:space="preserve">11.3 Breach notification and data minimization</w:t>
      </w:r>
    </w:p>
    <w:p>
      <w:pPr>
        <w:spacing w:after="80" w:before="80" w:line="300"/>
      </w:pPr>
      <w:r>
        <w:rPr>
          <w:rFonts w:ascii="Arial" w:cs="Arial" w:eastAsia="Arial" w:hAnsi="Arial"/>
          <w:color w:val="0F172A"/>
          <w:sz w:val="22"/>
          <w:szCs w:val="22"/>
        </w:rPr>
        <w:t xml:space="preserve">Law 25 requires notification within 72 hours of confirmed breach affecting Quebec residents. PIPEDA requires notification 'as soon as feasible' for breaches creating 'real risk of significant harm.' The architectural commitments to support this:</w:t>
      </w:r>
    </w:p>
    <w:p>
      <w:pPr>
        <w:pStyle w:val="ListParagraph"/>
        <w:numPr>
          <w:ilvl w:val="0"/>
          <w:numId w:val="2"/>
        </w:numPr>
        <w:spacing w:after="60" w:before="60" w:line="300"/>
      </w:pPr>
      <w:r>
        <w:rPr>
          <w:rFonts w:ascii="Arial" w:cs="Arial" w:eastAsia="Arial" w:hAnsi="Arial"/>
          <w:b/>
          <w:bCs/>
          <w:color w:val="0F172A"/>
          <w:sz w:val="22"/>
          <w:szCs w:val="22"/>
        </w:rPr>
        <w:t xml:space="preserve">Detection capability: </w:t>
      </w:r>
      <w:r>
        <w:rPr>
          <w:rFonts w:ascii="Arial" w:cs="Arial" w:eastAsia="Arial" w:hAnsi="Arial"/>
          <w:color w:val="0F172A"/>
          <w:sz w:val="22"/>
          <w:szCs w:val="22"/>
        </w:rPr>
        <w:t xml:space="preserve">application-level logging of all tenant-scoped queries with tenant_id, request_id, user_id, timestamp. NOT full query content (PII risk).</w:t>
      </w:r>
    </w:p>
    <w:p>
      <w:pPr>
        <w:pStyle w:val="ListParagraph"/>
        <w:numPr>
          <w:ilvl w:val="0"/>
          <w:numId w:val="2"/>
        </w:numPr>
        <w:spacing w:after="60" w:before="60" w:line="300"/>
      </w:pPr>
      <w:r>
        <w:rPr>
          <w:rFonts w:ascii="Arial" w:cs="Arial" w:eastAsia="Arial" w:hAnsi="Arial"/>
          <w:b/>
          <w:bCs/>
          <w:color w:val="0F172A"/>
          <w:sz w:val="22"/>
          <w:szCs w:val="22"/>
        </w:rPr>
        <w:t xml:space="preserve">Notification capability: </w:t>
      </w:r>
      <w:r>
        <w:rPr>
          <w:rFonts w:ascii="Arial" w:cs="Arial" w:eastAsia="Arial" w:hAnsi="Arial"/>
          <w:color w:val="0F172A"/>
          <w:sz w:val="22"/>
          <w:szCs w:val="22"/>
        </w:rPr>
        <w:t xml:space="preserve">transactional email service from Workstream 9 enables emailing all affected tenants within 72h.</w:t>
      </w:r>
    </w:p>
    <w:p>
      <w:pPr>
        <w:pStyle w:val="ListParagraph"/>
        <w:numPr>
          <w:ilvl w:val="0"/>
          <w:numId w:val="2"/>
        </w:numPr>
        <w:spacing w:after="60" w:before="60" w:line="300"/>
      </w:pPr>
      <w:r>
        <w:rPr>
          <w:rFonts w:ascii="Arial" w:cs="Arial" w:eastAsia="Arial" w:hAnsi="Arial"/>
          <w:b/>
          <w:bCs/>
          <w:color w:val="0F172A"/>
          <w:sz w:val="22"/>
          <w:szCs w:val="22"/>
        </w:rPr>
        <w:t xml:space="preserve">Process documentation: </w:t>
      </w:r>
      <w:r>
        <w:rPr>
          <w:rFonts w:ascii="Arial" w:cs="Arial" w:eastAsia="Arial" w:hAnsi="Arial"/>
          <w:color w:val="0F172A"/>
          <w:sz w:val="22"/>
          <w:szCs w:val="22"/>
        </w:rPr>
        <w:t xml:space="preserve">operational playbook outside this architecture log — founder responsibility.</w:t>
      </w:r>
    </w:p>
    <w:p>
      <w:pPr>
        <w:pStyle w:val="ListParagraph"/>
        <w:numPr>
          <w:ilvl w:val="0"/>
          <w:numId w:val="2"/>
        </w:numPr>
        <w:spacing w:after="60" w:before="60" w:line="300"/>
      </w:pPr>
      <w:r>
        <w:rPr>
          <w:rFonts w:ascii="Arial" w:cs="Arial" w:eastAsia="Arial" w:hAnsi="Arial"/>
          <w:b/>
          <w:bCs/>
          <w:color w:val="0F172A"/>
          <w:sz w:val="22"/>
          <w:szCs w:val="22"/>
        </w:rPr>
        <w:t xml:space="preserve">Data minimization: </w:t>
      </w:r>
      <w:r>
        <w:rPr>
          <w:rFonts w:ascii="Arial" w:cs="Arial" w:eastAsia="Arial" w:hAnsi="Arial"/>
          <w:color w:val="0F172A"/>
          <w:sz w:val="22"/>
          <w:szCs w:val="22"/>
        </w:rPr>
        <w:t xml:space="preserve">current data collection (per v5) is justified — address (geocoding), business hours (forecast), POS connection (sales), payment method (billing), language (UI), cuisine type (recipe seeding).</w:t>
      </w:r>
    </w:p>
    <w:p>
      <w:pPr>
        <w:pStyle w:val="ListParagraph"/>
        <w:numPr>
          <w:ilvl w:val="0"/>
          <w:numId w:val="2"/>
        </w:numPr>
        <w:spacing w:after="60" w:before="60" w:line="300"/>
      </w:pPr>
      <w:r>
        <w:rPr>
          <w:rFonts w:ascii="Arial" w:cs="Arial" w:eastAsia="Arial" w:hAnsi="Arial"/>
          <w:b/>
          <w:bCs/>
          <w:color w:val="0F172A"/>
          <w:sz w:val="22"/>
          <w:szCs w:val="22"/>
        </w:rPr>
        <w:t xml:space="preserve">PII redaction in logs: </w:t>
      </w:r>
      <w:r>
        <w:rPr>
          <w:rFonts w:ascii="Arial" w:cs="Arial" w:eastAsia="Arial" w:hAnsi="Arial"/>
          <w:color w:val="0F172A"/>
          <w:sz w:val="22"/>
          <w:szCs w:val="22"/>
        </w:rPr>
        <w:t xml:space="preserve">structured logging with explicit allow-list of fields. NEVER log full request bodies. Sensitive fields (passwords, PINs, email addresses, phone numbers) are explicitly redacted in middleware.</w:t>
      </w:r>
    </w:p>
    <w:p>
      <w:pPr>
        <w:pStyle w:val="Heading2"/>
        <w:spacing w:after="120" w:before="280"/>
      </w:pPr>
      <w:r>
        <w:rPr>
          <w:rFonts w:ascii="Arial" w:cs="Arial" w:eastAsia="Arial" w:hAnsi="Arial"/>
          <w:b/>
          <w:bCs/>
          <w:color w:val="0F172A"/>
          <w:sz w:val="28"/>
          <w:szCs w:val="28"/>
        </w:rPr>
        <w:t xml:space="preserve">11.4 Compliance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300"/>
        <w:gridCol w:w="22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8.78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Retention policy: Approach B. Tiered retention by data category while account is active; 30-day grace period after closure; full deletion of personal data after grace period.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8.79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Retention tiers, while account active: tenant business data indefinite; soft-deleted business data 30d; operational logs 90d; audit logs 2y; sessions 30d; idempotency_keys 24h.</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8.80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Account closure flow: tenant cancels → marked closed → 30-day grace period for reactivation → automated deletion job removes all tenant-scoped data and PII.</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8.81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Aggregated anonymized metrics are NOT deleted on account closure. The aggregation has already removed personal identifiers; the resulting metrics are non-personal data.</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8.82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Phase 2 Approach C path: tenant-controllable retention via Settings. Reserved for when customer demand surfaces.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Logged for Phase 2</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8.83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Engineering scope for v1 retention: scheduled deletion jobs per tier, account closure pathway, audit logging. ~3-5 days.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Logged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8.84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Right-to-access and right-to-deletion: Pattern B. Self-service in Settings → Privacy &amp; Data.</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8.85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Download my data: async background job exports tenant-scoped tables as ZIP of CSV files + JSON manifest. Completes within 24 hours; signed download link by email.</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8.86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Download links expire 7 days after generation. Reissuing supported via Settings page.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8.87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Delete my account: requires PIN re-confirmation per v5 §31. Triggers closure flow from Lock 8.80.</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8.88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Account closure flow includes a 'are you sure? here's what gets deleted' summary screen showing counts. Owner has to PIN-confirm after seeing this.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8.89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Aggregated anonymized metrics are explicitly excluded from deletion and called out in the 'what gets deleted' summary.</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8.90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Operator-handled unusual cases (partial deletions) follow admin pathways (Lock 8.39). Not formalized as self-service in v1.</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Logged for Phase 2</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8.91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Both flows generate admin_audit_log entries: who exported, who deleted. Available to operator team for compliance reporting.</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8.92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Breach detection: application-level logging of all tenant-scoped queries with tenant_id, request_id, user_id, timestamp. NOT full query content. 90-day retention per operational log tier.</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8.93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Breach notification process documented as operational playbook. Notification capability relies on transactional email service from Workstream 9.</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8.94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Data minimization audit: current collection (per v5) is justified. No PII collected without operational use.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 confirmation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8.95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Application logging uses structured logging with explicit allow-list of fields. NEVER log full request bodies. Sensitive fields explicitly redacted in middleware.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8.96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Logging libraries and infrastructure: Python structlog for application logging; logs ship to centralized service. Specific service deferred to Workstream 9.</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bl>
    <w:p>
      <w:r>
        <w:br w:type="page"/>
      </w:r>
    </w:p>
    <w:p>
      <w:pPr>
        <w:pStyle w:val="Heading1"/>
        <w:spacing w:after="160" w:before="360"/>
      </w:pPr>
      <w:r>
        <w:rPr>
          <w:rFonts w:ascii="Arial" w:cs="Arial" w:eastAsia="Arial" w:hAnsi="Arial"/>
          <w:b/>
          <w:bCs/>
          <w:color w:val="0F172A"/>
          <w:sz w:val="36"/>
          <w:szCs w:val="36"/>
        </w:rPr>
        <w:t xml:space="preserve">12. Backup posture and recovery objectives</w:t>
      </w:r>
    </w:p>
    <w:p>
      <w:pPr>
        <w:spacing w:after="80" w:before="80" w:line="300"/>
      </w:pPr>
      <w:r>
        <w:rPr>
          <w:rFonts w:ascii="Arial" w:cs="Arial" w:eastAsia="Arial" w:hAnsi="Arial"/>
          <w:color w:val="0F172A"/>
          <w:sz w:val="22"/>
          <w:szCs w:val="22"/>
        </w:rPr>
        <w:t xml:space="preserve">Sub-round 8g Q1 locked Posture A: RPO 1 hour, RTO 4 hours, via DigitalOcean Managed Postgres automated backups + point-in-time recovery (PITR) with 7-day retention. This is the industry default for paid B2B SaaS at v1 scale and the right balance of cost and protection for restaurant data.</w:t>
      </w:r>
    </w:p>
    <w:p>
      <w:pPr>
        <w:pStyle w:val="Heading2"/>
        <w:spacing w:after="120" w:before="280"/>
      </w:pPr>
      <w:r>
        <w:rPr>
          <w:rFonts w:ascii="Arial" w:cs="Arial" w:eastAsia="Arial" w:hAnsi="Arial"/>
          <w:b/>
          <w:bCs/>
          <w:color w:val="0F172A"/>
          <w:sz w:val="28"/>
          <w:szCs w:val="28"/>
        </w:rPr>
        <w:t xml:space="preserve">12.1 RPO and RTO — what the numbers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rPr>
          <w:tblHeader/>
        </w:trPr>
        <w:tc>
          <w:tcPr>
            <w:tcW w:type="dxa" w:w="22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Metric</w:t>
            </w:r>
          </w:p>
        </w:tc>
        <w:tc>
          <w:tcPr>
            <w:tcW w:type="dxa" w:w="11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Lock</w:t>
            </w:r>
          </w:p>
        </w:tc>
        <w:tc>
          <w:tcPr>
            <w:tcW w:type="dxa" w:w="60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Meaning</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RPO 1 hour</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8.97</w:t>
            </w:r>
          </w:p>
        </w:tc>
        <w:tc>
          <w:tcPr>
            <w:tcW w:type="dxa" w:w="60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Maximum acceptable data loss measured in time. Worst case after a catastrophic failure: lose 1 hour of writes.</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RTO 4 hours</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8.97</w:t>
            </w:r>
          </w:p>
        </w:tc>
        <w:tc>
          <w:tcPr>
            <w:tcW w:type="dxa" w:w="60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Maximum acceptable downtime. Worst case: 4 hours from incident detection to restored service.</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Practical RPO ~5 minutes</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8.99</w:t>
            </w:r>
          </w:p>
        </w:tc>
        <w:tc>
          <w:tcPr>
            <w:tcW w:type="dxa" w:w="60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Continuous WAL shipping makes the actual data-loss window much smaller than the SLA. The 1-hour figure is the worst-case bound published to customers.</w:t>
            </w:r>
          </w:p>
        </w:tc>
      </w:tr>
    </w:tbl>
    <w:p>
      <w:pPr>
        <w:pStyle w:val="Heading2"/>
        <w:spacing w:after="120" w:before="280"/>
      </w:pPr>
      <w:r>
        <w:rPr>
          <w:rFonts w:ascii="Arial" w:cs="Arial" w:eastAsia="Arial" w:hAnsi="Arial"/>
          <w:b/>
          <w:bCs/>
          <w:color w:val="0F172A"/>
          <w:sz w:val="28"/>
          <w:szCs w:val="28"/>
        </w:rPr>
        <w:t xml:space="preserve">12.2 PITR mechanism</w:t>
      </w:r>
    </w:p>
    <w:p>
      <w:pPr>
        <w:spacing w:after="80" w:before="80" w:line="300"/>
      </w:pPr>
      <w:r>
        <w:rPr>
          <w:rFonts w:ascii="Arial" w:cs="Arial" w:eastAsia="Arial" w:hAnsi="Arial"/>
          <w:color w:val="0F172A"/>
          <w:sz w:val="22"/>
          <w:szCs w:val="22"/>
        </w:rPr>
        <w:t xml:space="preserve">DigitalOcean Managed Postgres provides automated daily full backups plus continuous write-ahead log (WAL) shipping. The combination supports point-in-time recovery — restoring the database to any specific second within the retention window. This means recovery from accidental data corruption (a developer's UPDATE without WHERE clause, a buggy migration) can target the exact moment before the corruption.</w:t>
      </w:r>
    </w:p>
    <w:p>
      <w:pPr>
        <w:spacing w:after="80" w:before="80" w:line="300"/>
      </w:pPr>
      <w:r>
        <w:rPr>
          <w:rFonts w:ascii="Arial" w:cs="Arial" w:eastAsia="Arial" w:hAnsi="Arial"/>
          <w:color w:val="0F172A"/>
          <w:sz w:val="22"/>
          <w:szCs w:val="22"/>
        </w:rPr>
        <w:t xml:space="preserve">Retention window: 7 days. Recovery scenarios beyond that horizon are not supported by routine backup recovery — they would require specialized data archive procedures (out of scope for v1).</w:t>
      </w:r>
    </w:p>
    <w:p>
      <w:pPr>
        <w:pStyle w:val="Heading2"/>
        <w:spacing w:after="120" w:before="280"/>
      </w:pPr>
      <w:r>
        <w:rPr>
          <w:rFonts w:ascii="Arial" w:cs="Arial" w:eastAsia="Arial" w:hAnsi="Arial"/>
          <w:b/>
          <w:bCs/>
          <w:color w:val="0F172A"/>
          <w:sz w:val="28"/>
          <w:szCs w:val="28"/>
        </w:rPr>
        <w:t xml:space="preserve">12.3 Why not Posture B (more aggressive) or Posture C (less aggressive)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700"/>
        <w:gridCol w:w="3060"/>
      </w:tblGrid>
      <w:tr>
        <w:trPr>
          <w:tblHeader/>
        </w:trPr>
        <w:tc>
          <w:tcPr>
            <w:tcW w:type="dxa" w:w="18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Posture</w:t>
            </w:r>
          </w:p>
        </w:tc>
        <w:tc>
          <w:tcPr>
            <w:tcW w:type="dxa" w:w="18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RPO / RTO</w:t>
            </w:r>
          </w:p>
        </w:tc>
        <w:tc>
          <w:tcPr>
            <w:tcW w:type="dxa" w:w="27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Mechanism</w:t>
            </w:r>
          </w:p>
        </w:tc>
        <w:tc>
          <w:tcPr>
            <w:tcW w:type="dxa" w:w="30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Why rejected</w:t>
            </w:r>
          </w:p>
        </w:tc>
      </w:tr>
      <w:tr>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B (aggressive)</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5 min / 1 hour</w:t>
            </w:r>
          </w:p>
        </w:tc>
        <w:tc>
          <w:tcPr>
            <w:tcW w:type="dxa" w:w="27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Streaming replication to hot standby in different region, automatic failover</w:t>
            </w:r>
          </w:p>
        </w:tc>
        <w:tc>
          <w:tcPr>
            <w:tcW w:type="dxa" w:w="30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Genuinely overkill for restaurant SaaS at v1. Cost is 2x database + operational complexity. Customer benefit at v1 scale is near zero.</w:t>
            </w:r>
          </w:p>
        </w:tc>
      </w:tr>
      <w:tr>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 (lean)</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24 hours / 8 hours</w:t>
            </w:r>
          </w:p>
        </w:tc>
        <w:tc>
          <w:tcPr>
            <w:tcW w:type="dxa" w:w="27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Daily snapshots only, no PITR</w:t>
            </w:r>
          </w:p>
        </w:tc>
        <w:tc>
          <w:tcPr>
            <w:tcW w:type="dxa" w:w="30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Acceptable for free product or hobby project. Not acceptable for paid restaurant SaaS — losing a busy Saturday's receipts is customer-relationship-ending.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Phase 2 upgrade path to Posture B is preserved. </w:t>
            </w:r>
            <w:r>
              <w:rPr>
                <w:rFonts w:ascii="Arial" w:cs="Arial" w:eastAsia="Arial" w:hAnsi="Arial"/>
                <w:color w:val="0F172A"/>
                <w:sz w:val="22"/>
                <w:szCs w:val="22"/>
              </w:rPr>
              <w:t xml:space="preserve">When customer SLA demands warrant it (enterprise customer signs, or incident frequency rises), the upgrade is a configuration change on DigitalOcean Managed Postgres: provision a standby in a different region, enable streaming replication, document the failover runbook. No schema changes required. (Lock 8.100.)</w:t>
            </w:r>
          </w:p>
        </w:tc>
      </w:tr>
    </w:tbl>
    <w:p>
      <w:pPr>
        <w:pStyle w:val="Heading2"/>
        <w:spacing w:after="120" w:before="280"/>
      </w:pPr>
      <w:r>
        <w:rPr>
          <w:rFonts w:ascii="Arial" w:cs="Arial" w:eastAsia="Arial" w:hAnsi="Arial"/>
          <w:b/>
          <w:bCs/>
          <w:color w:val="0F172A"/>
          <w:sz w:val="28"/>
          <w:szCs w:val="28"/>
        </w:rPr>
        <w:t xml:space="preserve">12.4 Backup posture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300"/>
        <w:gridCol w:w="22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8.97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Backup posture: Posture A. RPO 1 hour, RTO 4 hours. Industry default for paid B2B SaaS.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8.98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Mechanism: DigitalOcean Managed Postgres automated daily backups + continuous WAL shipping for point-in-time recovery (PITR). PITR retention: 7 days.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8.99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Practical RPO is closer to ~5 minutes due to continuous WAL shipping. The 1-hour figure is the SLA published to customers and the worst-case bound.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 clarification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8.100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Phase 2 upgrade path to Posture B (RPO 5min, RTO 1h) is preserved by DigitalOcean's architecture: provision a standby in a different region, enable streaming replication, document failover runbook. No schema changes required for the upgrade.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Logged for Phase 2</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8.101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Posture C (24h RPO, daily snapshots only) explicitly rejected — losing a full day of receipts/sales/inventory_movements on a tenant's busy Saturday is a customer-relationship-ending event.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Logged for the record</w:t>
            </w:r>
          </w:p>
        </w:tc>
      </w:tr>
    </w:tbl>
    <w:p>
      <w:r>
        <w:br w:type="page"/>
      </w:r>
    </w:p>
    <w:p>
      <w:pPr>
        <w:pStyle w:val="Heading1"/>
        <w:spacing w:after="160" w:before="360"/>
      </w:pPr>
      <w:r>
        <w:rPr>
          <w:rFonts w:ascii="Arial" w:cs="Arial" w:eastAsia="Arial" w:hAnsi="Arial"/>
          <w:b/>
          <w:bCs/>
          <w:color w:val="0F172A"/>
          <w:sz w:val="36"/>
          <w:szCs w:val="36"/>
        </w:rPr>
        <w:t xml:space="preserve">13. Restore drill discipline</w:t>
      </w:r>
    </w:p>
    <w:p>
      <w:pPr>
        <w:spacing w:after="80" w:before="80" w:line="300"/>
      </w:pPr>
      <w:r>
        <w:rPr>
          <w:rFonts w:ascii="Arial" w:cs="Arial" w:eastAsia="Arial" w:hAnsi="Arial"/>
          <w:color w:val="0F172A"/>
          <w:sz w:val="22"/>
          <w:szCs w:val="22"/>
        </w:rPr>
        <w:t xml:space="preserve">Sub-round 8g Q2 locked quarterly restore drills. Backup configuration that's never been restored isn't a backup — it's a hopeful gesture. Untested restores fail in surprising ways: WAL files corrupt, restore tooling changes, missing extensions, stale connection strings. The architectural commitment is that restores are tested at a known cadence with a documented runbook.</w:t>
      </w:r>
    </w:p>
    <w:p>
      <w:pPr>
        <w:pStyle w:val="Heading2"/>
        <w:spacing w:after="120" w:before="280"/>
      </w:pPr>
      <w:r>
        <w:rPr>
          <w:rFonts w:ascii="Arial" w:cs="Arial" w:eastAsia="Arial" w:hAnsi="Arial"/>
          <w:b/>
          <w:bCs/>
          <w:color w:val="0F172A"/>
          <w:sz w:val="28"/>
          <w:szCs w:val="28"/>
        </w:rPr>
        <w:t xml:space="preserve">13.1 The cadence and what it covers</w:t>
      </w:r>
    </w:p>
    <w:p>
      <w:pPr>
        <w:spacing w:after="80" w:before="80" w:line="300"/>
      </w:pPr>
      <w:r>
        <w:rPr>
          <w:rFonts w:ascii="Arial" w:cs="Arial" w:eastAsia="Arial" w:hAnsi="Arial"/>
          <w:color w:val="0F172A"/>
          <w:sz w:val="22"/>
          <w:szCs w:val="22"/>
        </w:rPr>
        <w:t xml:space="preserve">Once per quarter (every 3 months), a restore is performed in a staging environment from a recent production backup. The drill is on the founder's calendar with a documented runbook — making it a calendared commitment rather than an ad-hoc 'we should test this sometime' that gets forgotten.</w:t>
      </w:r>
    </w:p>
    <w:p>
      <w:pPr>
        <w:spacing w:after="80" w:before="80" w:line="300"/>
      </w:pPr>
      <w:r>
        <w:rPr>
          <w:rFonts w:ascii="Arial" w:cs="Arial" w:eastAsia="Arial" w:hAnsi="Arial"/>
          <w:color w:val="0F172A"/>
          <w:sz w:val="22"/>
          <w:szCs w:val="22"/>
        </w:rPr>
        <w:t xml:space="preserve">Drill scope is full-path verification, not just backup-file existence:</w:t>
      </w:r>
    </w:p>
    <w:p>
      <w:pPr>
        <w:pStyle w:val="ListParagraph"/>
        <w:numPr>
          <w:ilvl w:val="0"/>
          <w:numId w:val="2"/>
        </w:numPr>
        <w:spacing w:after="60" w:before="60" w:line="300"/>
      </w:pPr>
      <w:r>
        <w:rPr>
          <w:rFonts w:ascii="Arial" w:cs="Arial" w:eastAsia="Arial" w:hAnsi="Arial"/>
          <w:b/>
          <w:bCs/>
          <w:color w:val="0F172A"/>
          <w:sz w:val="22"/>
          <w:szCs w:val="22"/>
        </w:rPr>
        <w:t xml:space="preserve">Restore from backup </w:t>
      </w:r>
      <w:r>
        <w:rPr>
          <w:rFonts w:ascii="Arial" w:cs="Arial" w:eastAsia="Arial" w:hAnsi="Arial"/>
          <w:color w:val="0F172A"/>
          <w:sz w:val="22"/>
          <w:szCs w:val="22"/>
        </w:rPr>
        <w:t xml:space="preserve">to a fresh staging Postgres instance</w:t>
      </w:r>
    </w:p>
    <w:p>
      <w:pPr>
        <w:pStyle w:val="ListParagraph"/>
        <w:numPr>
          <w:ilvl w:val="0"/>
          <w:numId w:val="2"/>
        </w:numPr>
        <w:spacing w:after="60" w:before="60" w:line="300"/>
      </w:pPr>
      <w:r>
        <w:rPr>
          <w:rFonts w:ascii="Arial" w:cs="Arial" w:eastAsia="Arial" w:hAnsi="Arial"/>
          <w:b/>
          <w:bCs/>
          <w:color w:val="0F172A"/>
          <w:sz w:val="22"/>
          <w:szCs w:val="22"/>
        </w:rPr>
        <w:t xml:space="preserve">Application smoke tests </w:t>
      </w:r>
      <w:r>
        <w:rPr>
          <w:rFonts w:ascii="Arial" w:cs="Arial" w:eastAsia="Arial" w:hAnsi="Arial"/>
          <w:color w:val="0F172A"/>
          <w:sz w:val="22"/>
          <w:szCs w:val="22"/>
        </w:rPr>
        <w:t xml:space="preserve">verify the app connects, queries return reasonable data, migration history matches production</w:t>
      </w:r>
    </w:p>
    <w:p>
      <w:pPr>
        <w:pStyle w:val="ListParagraph"/>
        <w:numPr>
          <w:ilvl w:val="0"/>
          <w:numId w:val="2"/>
        </w:numPr>
        <w:spacing w:after="60" w:before="60" w:line="300"/>
      </w:pPr>
      <w:r>
        <w:rPr>
          <w:rFonts w:ascii="Arial" w:cs="Arial" w:eastAsia="Arial" w:hAnsi="Arial"/>
          <w:b/>
          <w:bCs/>
          <w:color w:val="0F172A"/>
          <w:sz w:val="22"/>
          <w:szCs w:val="22"/>
        </w:rPr>
        <w:t xml:space="preserve">Recent records check </w:t>
      </w:r>
      <w:r>
        <w:rPr>
          <w:rFonts w:ascii="Arial" w:cs="Arial" w:eastAsia="Arial" w:hAnsi="Arial"/>
          <w:color w:val="0F172A"/>
          <w:sz w:val="22"/>
          <w:szCs w:val="22"/>
        </w:rPr>
        <w:t xml:space="preserve">verifies the last 24 hours of writes are present in the restored data</w:t>
      </w:r>
    </w:p>
    <w:p>
      <w:pPr>
        <w:pStyle w:val="ListParagraph"/>
        <w:numPr>
          <w:ilvl w:val="0"/>
          <w:numId w:val="2"/>
        </w:numPr>
        <w:spacing w:after="60" w:before="60" w:line="300"/>
      </w:pPr>
      <w:r>
        <w:rPr>
          <w:rFonts w:ascii="Arial" w:cs="Arial" w:eastAsia="Arial" w:hAnsi="Arial"/>
          <w:b/>
          <w:bCs/>
          <w:color w:val="0F172A"/>
          <w:sz w:val="22"/>
          <w:szCs w:val="22"/>
        </w:rPr>
        <w:t xml:space="preserve">Tear down </w:t>
      </w:r>
      <w:r>
        <w:rPr>
          <w:rFonts w:ascii="Arial" w:cs="Arial" w:eastAsia="Arial" w:hAnsi="Arial"/>
          <w:color w:val="0F172A"/>
          <w:sz w:val="22"/>
          <w:szCs w:val="22"/>
        </w:rPr>
        <w:t xml:space="preserve">staging instance after verification</w:t>
      </w:r>
    </w:p>
    <w:p>
      <w:pPr>
        <w:pStyle w:val="Heading2"/>
        <w:spacing w:after="120" w:before="280"/>
      </w:pPr>
      <w:r>
        <w:rPr>
          <w:rFonts w:ascii="Arial" w:cs="Arial" w:eastAsia="Arial" w:hAnsi="Arial"/>
          <w:b/>
          <w:bCs/>
          <w:color w:val="0F172A"/>
          <w:sz w:val="28"/>
          <w:szCs w:val="28"/>
        </w:rPr>
        <w:t xml:space="preserve">13.2 Drill failure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If a drill fails, it's a P1 issue. </w:t>
            </w:r>
            <w:r>
              <w:rPr>
                <w:rFonts w:ascii="Arial" w:cs="Arial" w:eastAsia="Arial" w:hAnsi="Arial"/>
                <w:color w:val="0F172A"/>
                <w:sz w:val="22"/>
                <w:szCs w:val="22"/>
              </w:rPr>
              <w:t xml:space="preserve">Same severity as a ledger integrity mismatch (Lock 7.12). Investigation begins same day. Backup configuration is reviewed and corrected. Next drill is scheduled within 2 weeks (not 3 months) until two consecutive drills succeed. (Lock 8.105.)</w:t>
            </w:r>
          </w:p>
        </w:tc>
      </w:tr>
    </w:tbl>
    <w:p>
      <w:pPr>
        <w:spacing w:after="80" w:before="80" w:line="300"/>
      </w:pPr>
      <w:r>
        <w:rPr>
          <w:rFonts w:ascii="Arial" w:cs="Arial" w:eastAsia="Arial" w:hAnsi="Arial"/>
          <w:color w:val="0F172A"/>
          <w:sz w:val="22"/>
          <w:szCs w:val="22"/>
        </w:rPr>
        <w:t xml:space="preserve">This is the operational teeth on the drill discipline. Without it, 'the drill failed' becomes 'we'll figure it out next quarter' — meaning 3 more months of unverified backups. With it, drill failure is a real incident with a defined response.</w:t>
      </w:r>
    </w:p>
    <w:p>
      <w:pPr>
        <w:pStyle w:val="Heading2"/>
        <w:spacing w:after="120" w:before="280"/>
      </w:pPr>
      <w:r>
        <w:rPr>
          <w:rFonts w:ascii="Arial" w:cs="Arial" w:eastAsia="Arial" w:hAnsi="Arial"/>
          <w:b/>
          <w:bCs/>
          <w:color w:val="0F172A"/>
          <w:sz w:val="28"/>
          <w:szCs w:val="28"/>
        </w:rPr>
        <w:t xml:space="preserve">13.3 Slipped drills as a flag</w:t>
      </w:r>
    </w:p>
    <w:p>
      <w:pPr>
        <w:spacing w:after="80" w:before="80" w:line="300"/>
      </w:pPr>
      <w:r>
        <w:rPr>
          <w:rFonts w:ascii="Arial" w:cs="Arial" w:eastAsia="Arial" w:hAnsi="Arial"/>
          <w:color w:val="0F172A"/>
          <w:sz w:val="22"/>
          <w:szCs w:val="22"/>
        </w:rPr>
        <w:t xml:space="preserve">If the drill slips by 2 quarters (6 months without a successful drill), that's an operational review flag — backups that haven't been restored in 6 months have unknown reliability. The architectural commitment is that this triggers a re-evaluation, not silent acceptance.</w:t>
      </w:r>
    </w:p>
    <w:p>
      <w:pPr>
        <w:spacing w:after="80" w:before="80" w:line="300"/>
      </w:pPr>
      <w:r>
        <w:rPr>
          <w:rFonts w:ascii="Arial" w:cs="Arial" w:eastAsia="Arial" w:hAnsi="Arial"/>
          <w:color w:val="0F172A"/>
          <w:sz w:val="22"/>
          <w:szCs w:val="22"/>
        </w:rPr>
        <w:t xml:space="preserve">If drill discipline degrades repeatedly, the upgrade path is to Model C — continuous automated restore validation. This is preserved as a Phase 2 path with a specific trigger:</w:t>
      </w:r>
    </w:p>
    <w:p>
      <w:pPr>
        <w:pStyle w:val="ListParagraph"/>
        <w:numPr>
          <w:ilvl w:val="0"/>
          <w:numId w:val="2"/>
        </w:numPr>
        <w:spacing w:after="60" w:before="60" w:line="300"/>
      </w:pPr>
      <w:r>
        <w:rPr>
          <w:rFonts w:ascii="Arial" w:cs="Arial" w:eastAsia="Arial" w:hAnsi="Arial"/>
          <w:color w:val="0F172A"/>
          <w:sz w:val="22"/>
          <w:szCs w:val="22"/>
        </w:rPr>
        <w:t xml:space="preserve">When team has bandwidth for the ~3-5 days of engineering, OR</w:t>
      </w:r>
    </w:p>
    <w:p>
      <w:pPr>
        <w:pStyle w:val="ListParagraph"/>
        <w:numPr>
          <w:ilvl w:val="0"/>
          <w:numId w:val="2"/>
        </w:numPr>
        <w:spacing w:after="60" w:before="60" w:line="300"/>
      </w:pPr>
      <w:r>
        <w:rPr>
          <w:rFonts w:ascii="Arial" w:cs="Arial" w:eastAsia="Arial" w:hAnsi="Arial"/>
          <w:color w:val="0F172A"/>
          <w:sz w:val="22"/>
          <w:szCs w:val="22"/>
        </w:rPr>
        <w:t xml:space="preserve">After the second slipped drill, whichever comes first</w:t>
      </w:r>
    </w:p>
    <w:p>
      <w:pPr>
        <w:spacing w:after="80" w:before="80" w:line="300"/>
      </w:pPr>
      <w:r>
        <w:rPr>
          <w:rFonts w:ascii="Arial" w:cs="Arial" w:eastAsia="Arial" w:hAnsi="Arial"/>
          <w:color w:val="0F172A"/>
          <w:sz w:val="22"/>
          <w:szCs w:val="22"/>
        </w:rPr>
        <w:t xml:space="preserve">The system self-corrects against operational drift: if humans can't maintain the cadence, automation takes over.</w:t>
      </w:r>
    </w:p>
    <w:p>
      <w:pPr>
        <w:pStyle w:val="Heading2"/>
        <w:spacing w:after="120" w:before="280"/>
      </w:pPr>
      <w:r>
        <w:rPr>
          <w:rFonts w:ascii="Arial" w:cs="Arial" w:eastAsia="Arial" w:hAnsi="Arial"/>
          <w:b/>
          <w:bCs/>
          <w:color w:val="0F172A"/>
          <w:sz w:val="28"/>
          <w:szCs w:val="28"/>
        </w:rPr>
        <w:t xml:space="preserve">13.4 Restore drill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300"/>
        <w:gridCol w:w="22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8.102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Restore drill cadence: quarterly. Once per 3 months, a restore is performed in a staging environment from a recent backup. Smoke tests verify application connectivity, reasonable query results, migration history match. Results documented.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8.103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The drill is on the founder's calendar with a documented runbook. If it slips by 2 quarters (6 months without a drill), that's a flag for operational review.</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8.104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Drill scope: full restore from backup → fresh staging Postgres instance → application smoke tests → verify recent records (last 24 hours) are present → tear down staging.</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8.105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Drill failure handling: P1 issue. Investigation begins same day. Backup configuration reviewed and corrected. Next drill scheduled within 2 weeks until two consecutive drills succeed.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8.106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Phase 2 upgrade to Model C (continuous automated restore validation): preserved. Implementation involves a scheduled job that nightly spins up a fresh staging instance, restores from backup, runs smoke test, tears down. ~3-5 days engineering + ~$10-30/month infrastructure. Trigger: team bandwidth OR second slipped drill, whichever first.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Logged for Phase 2</w:t>
            </w:r>
          </w:p>
        </w:tc>
      </w:tr>
    </w:tbl>
    <w:p>
      <w:r>
        <w:br w:type="page"/>
      </w:r>
    </w:p>
    <w:p>
      <w:pPr>
        <w:pStyle w:val="Heading1"/>
        <w:spacing w:after="160" w:before="360"/>
      </w:pPr>
      <w:r>
        <w:rPr>
          <w:rFonts w:ascii="Arial" w:cs="Arial" w:eastAsia="Arial" w:hAnsi="Arial"/>
          <w:b/>
          <w:bCs/>
          <w:color w:val="0F172A"/>
          <w:sz w:val="36"/>
          <w:szCs w:val="36"/>
        </w:rPr>
        <w:t xml:space="preserve">14. Cross-region backup replication</w:t>
      </w:r>
    </w:p>
    <w:p>
      <w:pPr>
        <w:spacing w:after="80" w:before="80" w:line="300"/>
      </w:pPr>
      <w:r>
        <w:rPr>
          <w:rFonts w:ascii="Arial" w:cs="Arial" w:eastAsia="Arial" w:hAnsi="Arial"/>
          <w:color w:val="0F172A"/>
          <w:sz w:val="22"/>
          <w:szCs w:val="22"/>
        </w:rPr>
        <w:t xml:space="preserve">Sub-round 8g Q3 locked Option 2: cross-region backup replication. Backups stored in primary region (default) AND replicated to a secondary DigitalOcean region. This survives regional catastrophe — a complete primary region outage — at modest cost.</w:t>
      </w:r>
    </w:p>
    <w:p>
      <w:pPr>
        <w:pStyle w:val="Heading2"/>
        <w:spacing w:after="120" w:before="280"/>
      </w:pPr>
      <w:r>
        <w:rPr>
          <w:rFonts w:ascii="Arial" w:cs="Arial" w:eastAsia="Arial" w:hAnsi="Arial"/>
          <w:b/>
          <w:bCs/>
          <w:color w:val="0F172A"/>
          <w:sz w:val="28"/>
          <w:szCs w:val="28"/>
        </w:rPr>
        <w:t xml:space="preserve">14.1 Why cross-region replication</w:t>
      </w:r>
    </w:p>
    <w:p>
      <w:pPr>
        <w:spacing w:after="80" w:before="80" w:line="300"/>
      </w:pPr>
      <w:r>
        <w:rPr>
          <w:rFonts w:ascii="Arial" w:cs="Arial" w:eastAsia="Arial" w:hAnsi="Arial"/>
          <w:color w:val="0F172A"/>
          <w:sz w:val="22"/>
          <w:szCs w:val="22"/>
        </w:rPr>
        <w:t xml:space="preserve">DigitalOcean Managed Postgres backups are stored in the same region as the database by default. If the entire primary region is offline (rare but real — AWS, GCP, and other major cloud providers have all had region-wide outages), same-region backups are also unavailable until the region recovers. That could be days.</w:t>
      </w:r>
    </w:p>
    <w:p>
      <w:pPr>
        <w:spacing w:after="80" w:before="80" w:line="300"/>
      </w:pPr>
      <w:r>
        <w:rPr>
          <w:rFonts w:ascii="Arial" w:cs="Arial" w:eastAsia="Arial" w:hAnsi="Arial"/>
          <w:color w:val="0F172A"/>
          <w:sz w:val="22"/>
          <w:szCs w:val="22"/>
        </w:rPr>
        <w:t xml:space="preserve">Cross-region replication adds a secondary destination for backups in a different DigitalOcean region. If the primary region is offline, a new database can be provisioned in the secondary region and restored from the replicated backup — recovery time within the locked RTO of 4 hours.</w:t>
      </w:r>
    </w:p>
    <w:p>
      <w:pPr>
        <w:pStyle w:val="Heading2"/>
        <w:spacing w:after="120" w:before="280"/>
      </w:pPr>
      <w:r>
        <w:rPr>
          <w:rFonts w:ascii="Arial" w:cs="Arial" w:eastAsia="Arial" w:hAnsi="Arial"/>
          <w:b/>
          <w:bCs/>
          <w:color w:val="0F172A"/>
          <w:sz w:val="28"/>
          <w:szCs w:val="28"/>
        </w:rPr>
        <w:t xml:space="preserve">14.2 Trade-offs vs.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2200"/>
        <w:gridCol w:w="2860"/>
      </w:tblGrid>
      <w:tr>
        <w:trPr>
          <w:tblHeader/>
        </w:trPr>
        <w:tc>
          <w:tcPr>
            <w:tcW w:type="dxa" w:w="24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Option</w:t>
            </w:r>
          </w:p>
        </w:tc>
        <w:tc>
          <w:tcPr>
            <w:tcW w:type="dxa" w:w="19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Cost</w:t>
            </w:r>
          </w:p>
        </w:tc>
        <w:tc>
          <w:tcPr>
            <w:tcW w:type="dxa" w:w="22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Survives regional catastrophe</w:t>
            </w:r>
          </w:p>
        </w:tc>
        <w:tc>
          <w:tcPr>
            <w:tcW w:type="dxa" w:w="28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Why decision</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 — Same-region backups only</w:t>
            </w:r>
          </w:p>
        </w:tc>
        <w:tc>
          <w:tcPr>
            <w:tcW w:type="dxa" w:w="1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Cheapest</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No (extended downtime until region recovers)</w:t>
            </w:r>
          </w:p>
        </w:tc>
        <w:tc>
          <w:tcPr>
            <w:tcW w:type="dxa" w:w="28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Rejected — paid B2B SaaS customers should not face days of downtime.</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2 — Cross-region backup replication (locked)</w:t>
            </w:r>
          </w:p>
        </w:tc>
        <w:tc>
          <w:tcPr>
            <w:tcW w:type="dxa" w:w="1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+$20-50/mo + ~1 day engineering</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Yes (4h recovery)</w:t>
            </w:r>
          </w:p>
        </w:tc>
        <w:tc>
          <w:tcPr>
            <w:tcW w:type="dxa" w:w="28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Right balance for v1. Cheap insurance.</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3 — Cross-region streaming replication (hot standby)</w:t>
            </w:r>
          </w:p>
        </w:tc>
        <w:tc>
          <w:tcPr>
            <w:tcW w:type="dxa" w:w="1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2x database cost</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Yes (minimal downtime)</w:t>
            </w:r>
          </w:p>
        </w:tc>
        <w:tc>
          <w:tcPr>
            <w:tcW w:type="dxa" w:w="28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Phase 2 upgrade path. Right end state when SLA demands warrant it.</w:t>
            </w:r>
          </w:p>
        </w:tc>
      </w:tr>
    </w:tbl>
    <w:p>
      <w:pPr>
        <w:pStyle w:val="Heading2"/>
        <w:spacing w:after="120" w:before="280"/>
      </w:pPr>
      <w:r>
        <w:rPr>
          <w:rFonts w:ascii="Arial" w:cs="Arial" w:eastAsia="Arial" w:hAnsi="Arial"/>
          <w:b/>
          <w:bCs/>
          <w:color w:val="0F172A"/>
          <w:sz w:val="28"/>
          <w:szCs w:val="28"/>
        </w:rPr>
        <w:t xml:space="preserve">14.3 Region selection and data residency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Region selection intersects with PIPEDA / Law 25 data residency. </w:t>
            </w:r>
            <w:r>
              <w:rPr>
                <w:rFonts w:ascii="Arial" w:cs="Arial" w:eastAsia="Arial" w:hAnsi="Arial"/>
                <w:color w:val="0F172A"/>
                <w:sz w:val="22"/>
                <w:szCs w:val="22"/>
              </w:rPr>
              <w:t xml:space="preserve">Quebec's Law 25 has provisions around data leaving Quebec/Canada that vary by data category. Lock 8.108 sets the locked direction (Toronto-1 primary, NYC1 or Amsterdam secondary, OR similar in Canadian-adjacent regions) but defers final region choice to infrastructure provisioning time with documented rationale and counsel input. The architecture is capable of multiple legal answers; the actual region pair lands at provisioning.</w:t>
            </w:r>
          </w:p>
        </w:tc>
      </w:tr>
    </w:tbl>
    <w:p>
      <w:pPr>
        <w:pStyle w:val="Heading2"/>
        <w:spacing w:after="120" w:before="280"/>
      </w:pPr>
      <w:r>
        <w:rPr>
          <w:rFonts w:ascii="Arial" w:cs="Arial" w:eastAsia="Arial" w:hAnsi="Arial"/>
          <w:b/>
          <w:bCs/>
          <w:color w:val="0F172A"/>
          <w:sz w:val="28"/>
          <w:szCs w:val="28"/>
        </w:rPr>
        <w:t xml:space="preserve">14.4 Annual drill rotation includes one cross-region drill</w:t>
      </w:r>
    </w:p>
    <w:p>
      <w:pPr>
        <w:spacing w:after="80" w:before="80" w:line="300"/>
      </w:pPr>
      <w:r>
        <w:rPr>
          <w:rFonts w:ascii="Arial" w:cs="Arial" w:eastAsia="Arial" w:hAnsi="Arial"/>
          <w:color w:val="0F172A"/>
          <w:sz w:val="22"/>
          <w:szCs w:val="22"/>
        </w:rPr>
        <w:t xml:space="preserve">Cross-region restore is materially different from same-region restore — different network paths, potentially different latency characteristics, different DNS/load-balancer steps. The annual quarterly drill rotation includes one cross-region drill per year (3 same-region drills + 1 cross-region drill annually). The cross-region drill is more involved and carries a longer scheduled time block.</w:t>
      </w:r>
    </w:p>
    <w:p>
      <w:pPr>
        <w:pStyle w:val="Heading2"/>
        <w:spacing w:after="120" w:before="280"/>
      </w:pPr>
      <w:r>
        <w:rPr>
          <w:rFonts w:ascii="Arial" w:cs="Arial" w:eastAsia="Arial" w:hAnsi="Arial"/>
          <w:b/>
          <w:bCs/>
          <w:color w:val="0F172A"/>
          <w:sz w:val="28"/>
          <w:szCs w:val="28"/>
        </w:rPr>
        <w:t xml:space="preserve">14.5 Cross-region replication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300"/>
        <w:gridCol w:w="22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8.107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Cross-region backup replication is enabled. Backups (full + WAL for PITR) replicated from the primary region to a secondary DigitalOcean region.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8.108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Primary region: TBD at infrastructure provisioning (likely Toronto-1 — TOR1 — for proximity, latency, simpler PIPEDA/Law 25 data residency). Secondary region: a different DigitalOcean region in the same broader jurisdiction (NYC1 or similar).</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8.109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Cross-region restore runbook is documented separately from same-region restore. Differences: provision new database in secondary region, update application's DATABASE_URL, restore from cross-region backup, verify WAL replay, switch DNS / load balancer.</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8.110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Annual quarterly drill rotation: 3 same-region drills + 1 cross-region drill per year. Cross-region drill carries a longer scheduled time block.</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8.111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Phase 2 upgrade to Option 3 (cross-region streaming replication / hot standby): preserved. Builds on Lock 8.107's foundation — secondary region is already configured for backups; upgrade is to streaming.</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Logged for Phase 2</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8.112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Data residency posture: keeping primary and secondary in Canadian (or Canadian-adjacent US) regions maintains a defensible PIPEDA/Law 25 story. Compliance review (Lock 8.93's operational playbook) documents this with counsel input.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bl>
    <w:p>
      <w:r>
        <w:br w:type="page"/>
      </w:r>
    </w:p>
    <w:p>
      <w:pPr>
        <w:pStyle w:val="Heading1"/>
        <w:spacing w:after="160" w:before="360"/>
      </w:pPr>
      <w:r>
        <w:rPr>
          <w:rFonts w:ascii="Arial" w:cs="Arial" w:eastAsia="Arial" w:hAnsi="Arial"/>
          <w:b/>
          <w:bCs/>
          <w:color w:val="0F172A"/>
          <w:sz w:val="36"/>
          <w:szCs w:val="36"/>
        </w:rPr>
        <w:t xml:space="preserve">15. Incident response posture</w:t>
      </w:r>
    </w:p>
    <w:p>
      <w:pPr>
        <w:spacing w:after="80" w:before="80" w:line="300"/>
      </w:pPr>
      <w:r>
        <w:rPr>
          <w:rFonts w:ascii="Arial" w:cs="Arial" w:eastAsia="Arial" w:hAnsi="Arial"/>
          <w:color w:val="0F172A"/>
          <w:sz w:val="22"/>
          <w:szCs w:val="22"/>
        </w:rPr>
        <w:t xml:space="preserve">Sub-round 8g Q4 locked Posture B: founder primary on-call + designated backup, documented runbook stubs for every P1/P2 alert category, customer communication templates, postmortems on all P1 incidents.</w:t>
      </w:r>
    </w:p>
    <w:p>
      <w:pPr>
        <w:pStyle w:val="Heading2"/>
        <w:spacing w:after="120" w:before="280"/>
      </w:pPr>
      <w:r>
        <w:rPr>
          <w:rFonts w:ascii="Arial" w:cs="Arial" w:eastAsia="Arial" w:hAnsi="Arial"/>
          <w:b/>
          <w:bCs/>
          <w:color w:val="0F172A"/>
          <w:sz w:val="28"/>
          <w:szCs w:val="28"/>
        </w:rPr>
        <w:t xml:space="preserve">15.1 The on-call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Role</w:t>
            </w:r>
          </w:p>
        </w:tc>
        <w:tc>
          <w:tcPr>
            <w:tcW w:type="dxa" w:w="24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Person</w:t>
            </w:r>
          </w:p>
        </w:tc>
        <w:tc>
          <w:tcPr>
            <w:tcW w:type="dxa" w:w="51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Responsibilities</w:t>
            </w:r>
          </w:p>
        </w:tc>
      </w:tr>
      <w:tr>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Primary on-call</w:t>
            </w:r>
          </w:p>
        </w:tc>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Vito (founder)</w:t>
            </w:r>
          </w:p>
        </w:tc>
        <w:tc>
          <w:tcPr>
            <w:tcW w:type="dxa" w:w="5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First responder to all P1/P2 alerts; investigation, mitigation, customer communication</w:t>
            </w:r>
          </w:p>
        </w:tc>
      </w:tr>
      <w:tr>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Backup on-call</w:t>
            </w:r>
          </w:p>
        </w:tc>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TBD — technical co-founder, contractor, or first engineering hire</w:t>
            </w:r>
          </w:p>
        </w:tc>
        <w:tc>
          <w:tcPr>
            <w:tcW w:type="dxa" w:w="5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Notified if primary doesn't acknowledge within 15 min; takes over if primary unavailable</w:t>
            </w:r>
          </w:p>
        </w:tc>
      </w:tr>
    </w:tbl>
    <w:p>
      <w:pPr>
        <w:spacing w:after="80" w:before="80" w:line="300"/>
      </w:pPr>
      <w:r>
        <w:rPr>
          <w:rFonts w:ascii="Arial" w:cs="Arial" w:eastAsia="Arial" w:hAnsi="Arial"/>
          <w:color w:val="0F172A"/>
          <w:sz w:val="22"/>
          <w:szCs w:val="22"/>
        </w:rPr>
        <w:t xml:space="preserve">The identity of the backup person is TBD — that's a hiring decision, not an architecture decision. The role is locked: there must be a designated backup before launch. Solo on-call without a backup is unsustainable.</w:t>
      </w:r>
    </w:p>
    <w:p>
      <w:pPr>
        <w:pStyle w:val="Heading2"/>
        <w:spacing w:after="120" w:before="280"/>
      </w:pPr>
      <w:r>
        <w:rPr>
          <w:rFonts w:ascii="Arial" w:cs="Arial" w:eastAsia="Arial" w:hAnsi="Arial"/>
          <w:b/>
          <w:bCs/>
          <w:color w:val="0F172A"/>
          <w:sz w:val="28"/>
          <w:szCs w:val="28"/>
        </w:rPr>
        <w:t xml:space="preserve">15.2 Runbook stubs for every alert category</w:t>
      </w:r>
    </w:p>
    <w:p>
      <w:pPr>
        <w:spacing w:after="80" w:before="80" w:line="300"/>
      </w:pPr>
      <w:r>
        <w:rPr>
          <w:rFonts w:ascii="Arial" w:cs="Arial" w:eastAsia="Arial" w:hAnsi="Arial"/>
          <w:color w:val="0F172A"/>
          <w:sz w:val="22"/>
          <w:szCs w:val="22"/>
        </w:rPr>
        <w:t xml:space="preserve">Each P1/P2 alert category from Workstreams 7 and 8 has a runbook stub written before launch. The stub answers four questions:</w:t>
      </w:r>
    </w:p>
    <w:p>
      <w:pPr>
        <w:pStyle w:val="ListParagraph"/>
        <w:numPr>
          <w:ilvl w:val="0"/>
          <w:numId w:val="2"/>
        </w:numPr>
        <w:spacing w:after="60" w:before="60" w:line="300"/>
      </w:pPr>
      <w:r>
        <w:rPr>
          <w:rFonts w:ascii="Arial" w:cs="Arial" w:eastAsia="Arial" w:hAnsi="Arial"/>
          <w:color w:val="0F172A"/>
          <w:sz w:val="22"/>
          <w:szCs w:val="22"/>
        </w:rPr>
        <w:t xml:space="preserve">What does this alert mean in plain language?</w:t>
      </w:r>
    </w:p>
    <w:p>
      <w:pPr>
        <w:pStyle w:val="ListParagraph"/>
        <w:numPr>
          <w:ilvl w:val="0"/>
          <w:numId w:val="2"/>
        </w:numPr>
        <w:spacing w:after="60" w:before="60" w:line="300"/>
      </w:pPr>
      <w:r>
        <w:rPr>
          <w:rFonts w:ascii="Arial" w:cs="Arial" w:eastAsia="Arial" w:hAnsi="Arial"/>
          <w:color w:val="0F172A"/>
          <w:sz w:val="22"/>
          <w:szCs w:val="22"/>
        </w:rPr>
        <w:t xml:space="preserve">What's the first thing to check?</w:t>
      </w:r>
    </w:p>
    <w:p>
      <w:pPr>
        <w:pStyle w:val="ListParagraph"/>
        <w:numPr>
          <w:ilvl w:val="0"/>
          <w:numId w:val="2"/>
        </w:numPr>
        <w:spacing w:after="60" w:before="60" w:line="300"/>
      </w:pPr>
      <w:r>
        <w:rPr>
          <w:rFonts w:ascii="Arial" w:cs="Arial" w:eastAsia="Arial" w:hAnsi="Arial"/>
          <w:color w:val="0F172A"/>
          <w:sz w:val="22"/>
          <w:szCs w:val="22"/>
        </w:rPr>
        <w:t xml:space="preserve">What's the escalation path if first checks don't resolve?</w:t>
      </w:r>
    </w:p>
    <w:p>
      <w:pPr>
        <w:pStyle w:val="ListParagraph"/>
        <w:numPr>
          <w:ilvl w:val="0"/>
          <w:numId w:val="2"/>
        </w:numPr>
        <w:spacing w:after="60" w:before="60" w:line="300"/>
      </w:pPr>
      <w:r>
        <w:rPr>
          <w:rFonts w:ascii="Arial" w:cs="Arial" w:eastAsia="Arial" w:hAnsi="Arial"/>
          <w:color w:val="0F172A"/>
          <w:sz w:val="22"/>
          <w:szCs w:val="22"/>
        </w:rPr>
        <w:t xml:space="preserve">What's the customer communication trigger? (Do affected tenants need to know? When?)</w:t>
      </w:r>
    </w:p>
    <w:p>
      <w:pPr>
        <w:spacing w:after="80" w:before="80" w:line="300"/>
      </w:pPr>
      <w:r>
        <w:rPr>
          <w:rFonts w:ascii="Arial" w:cs="Arial" w:eastAsia="Arial" w:hAnsi="Arial"/>
          <w:color w:val="0F172A"/>
          <w:sz w:val="22"/>
          <w:szCs w:val="22"/>
        </w:rPr>
        <w:t xml:space="preserve">Required runbook stubs: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Alert</w:t>
            </w:r>
          </w:p>
        </w:tc>
        <w:tc>
          <w:tcPr>
            <w:tcW w:type="dxa" w:w="15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Severity</w:t>
            </w:r>
          </w:p>
        </w:tc>
        <w:tc>
          <w:tcPr>
            <w:tcW w:type="dxa" w:w="4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Source</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Ledger integrity mismatch</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P1</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Lock 7.12 — nightly ledger integrity check</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Database unavailable</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P1</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Operational — Postgres connection failure</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Restore drill failure</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P1</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Lock 8.105</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Cross-region replication broken</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P1</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Lock 8.107 — backup destination unreachable</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Side-effect failure rate elevated</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P2</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Lock 7.59 — repeated handler failures</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Idempotency-keys table growth abnormal</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P2</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Operational — TTL cleanup not running</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Restore drill skipped</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P2</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Lock 8.103 — calendar slippage</w:t>
            </w:r>
          </w:p>
        </w:tc>
      </w:tr>
    </w:tbl>
    <w:p>
      <w:pPr>
        <w:pStyle w:val="Heading2"/>
        <w:spacing w:after="120" w:before="280"/>
      </w:pPr>
      <w:r>
        <w:rPr>
          <w:rFonts w:ascii="Arial" w:cs="Arial" w:eastAsia="Arial" w:hAnsi="Arial"/>
          <w:b/>
          <w:bCs/>
          <w:color w:val="0F172A"/>
          <w:sz w:val="28"/>
          <w:szCs w:val="28"/>
        </w:rPr>
        <w:t xml:space="preserve">15.3 Customer communication</w:t>
      </w:r>
    </w:p>
    <w:p>
      <w:pPr>
        <w:spacing w:after="80" w:before="80" w:line="300"/>
      </w:pPr>
      <w:r>
        <w:rPr>
          <w:rFonts w:ascii="Arial" w:cs="Arial" w:eastAsia="Arial" w:hAnsi="Arial"/>
          <w:color w:val="0F172A"/>
          <w:sz w:val="22"/>
          <w:szCs w:val="22"/>
        </w:rPr>
        <w:t xml:space="preserve">Three communication templates are written before launch:</w:t>
      </w:r>
    </w:p>
    <w:p>
      <w:pPr>
        <w:pStyle w:val="ListParagraph"/>
        <w:numPr>
          <w:ilvl w:val="0"/>
          <w:numId w:val="2"/>
        </w:numPr>
        <w:spacing w:after="60" w:before="60" w:line="300"/>
      </w:pPr>
      <w:r>
        <w:rPr>
          <w:rFonts w:ascii="Arial" w:cs="Arial" w:eastAsia="Arial" w:hAnsi="Arial"/>
          <w:b/>
          <w:bCs/>
          <w:color w:val="0F172A"/>
          <w:sz w:val="22"/>
          <w:szCs w:val="22"/>
        </w:rPr>
        <w:t xml:space="preserve">"We're investigating" </w:t>
      </w:r>
      <w:r>
        <w:rPr>
          <w:rFonts w:ascii="Arial" w:cs="Arial" w:eastAsia="Arial" w:hAnsi="Arial"/>
          <w:color w:val="0F172A"/>
          <w:sz w:val="22"/>
          <w:szCs w:val="22"/>
        </w:rPr>
        <w:t xml:space="preserve">— sent when an incident is detected and confirmed but cause/duration is unclear</w:t>
      </w:r>
    </w:p>
    <w:p>
      <w:pPr>
        <w:pStyle w:val="ListParagraph"/>
        <w:numPr>
          <w:ilvl w:val="0"/>
          <w:numId w:val="2"/>
        </w:numPr>
        <w:spacing w:after="60" w:before="60" w:line="300"/>
      </w:pPr>
      <w:r>
        <w:rPr>
          <w:rFonts w:ascii="Arial" w:cs="Arial" w:eastAsia="Arial" w:hAnsi="Arial"/>
          <w:b/>
          <w:bCs/>
          <w:color w:val="0F172A"/>
          <w:sz w:val="22"/>
          <w:szCs w:val="22"/>
        </w:rPr>
        <w:t xml:space="preserve">"We've identified the issue" </w:t>
      </w:r>
      <w:r>
        <w:rPr>
          <w:rFonts w:ascii="Arial" w:cs="Arial" w:eastAsia="Arial" w:hAnsi="Arial"/>
          <w:color w:val="0F172A"/>
          <w:sz w:val="22"/>
          <w:szCs w:val="22"/>
        </w:rPr>
        <w:t xml:space="preserve">— sent when root cause is known and ETA is available</w:t>
      </w:r>
    </w:p>
    <w:p>
      <w:pPr>
        <w:pStyle w:val="ListParagraph"/>
        <w:numPr>
          <w:ilvl w:val="0"/>
          <w:numId w:val="2"/>
        </w:numPr>
        <w:spacing w:after="60" w:before="60" w:line="300"/>
      </w:pPr>
      <w:r>
        <w:rPr>
          <w:rFonts w:ascii="Arial" w:cs="Arial" w:eastAsia="Arial" w:hAnsi="Arial"/>
          <w:b/>
          <w:bCs/>
          <w:color w:val="0F172A"/>
          <w:sz w:val="22"/>
          <w:szCs w:val="22"/>
        </w:rPr>
        <w:t xml:space="preserve">"We've resolved it" </w:t>
      </w:r>
      <w:r>
        <w:rPr>
          <w:rFonts w:ascii="Arial" w:cs="Arial" w:eastAsia="Arial" w:hAnsi="Arial"/>
          <w:color w:val="0F172A"/>
          <w:sz w:val="22"/>
          <w:szCs w:val="22"/>
        </w:rPr>
        <w:t xml:space="preserve">— sent when service is fully restored, with brief explanation of what happened</w:t>
      </w:r>
    </w:p>
    <w:p>
      <w:pPr>
        <w:spacing w:after="80" w:before="80" w:line="300"/>
      </w:pPr>
      <w:r>
        <w:rPr>
          <w:rFonts w:ascii="Arial" w:cs="Arial" w:eastAsia="Arial" w:hAnsi="Arial"/>
          <w:color w:val="0F172A"/>
          <w:sz w:val="22"/>
          <w:szCs w:val="22"/>
        </w:rPr>
        <w:t xml:space="preserve">Each template includes placeholders for incident description, expected resolution time, and "no action needed from you" framing where applicable.</w:t>
      </w:r>
    </w:p>
    <w:p>
      <w:pPr>
        <w:spacing w:after="80" w:before="80" w:line="300"/>
      </w:pPr>
      <w:r>
        <w:rPr>
          <w:rFonts w:ascii="Arial" w:cs="Arial" w:eastAsia="Arial" w:hAnsi="Arial"/>
          <w:color w:val="0F172A"/>
          <w:sz w:val="22"/>
          <w:szCs w:val="22"/>
        </w:rPr>
        <w:t xml:space="preserve">Communication channels for v1: email to affected tenants, plus an in-app banner if the incident affects a specific surface (e.g., "Receiving is temporarily unavailable; we're working on it"). NOT a public status page in v1 — that's Posture C territory and premature for current scale.</w:t>
      </w:r>
    </w:p>
    <w:p>
      <w:pPr>
        <w:pStyle w:val="Heading2"/>
        <w:spacing w:after="120" w:before="280"/>
      </w:pPr>
      <w:r>
        <w:rPr>
          <w:rFonts w:ascii="Arial" w:cs="Arial" w:eastAsia="Arial" w:hAnsi="Arial"/>
          <w:b/>
          <w:bCs/>
          <w:color w:val="0F172A"/>
          <w:sz w:val="28"/>
          <w:szCs w:val="28"/>
        </w:rPr>
        <w:t xml:space="preserve">15.4 Postmortems on all P1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Every P1 incident receives a written postmortem within 7 days of resolution. </w:t>
            </w:r>
            <w:r>
              <w:rPr>
                <w:rFonts w:ascii="Arial" w:cs="Arial" w:eastAsia="Arial" w:hAnsi="Arial"/>
                <w:color w:val="0F172A"/>
                <w:sz w:val="22"/>
                <w:szCs w:val="22"/>
              </w:rPr>
              <w:t xml:space="preserve">Postmortem template covers: timeline of events, root cause, what worked in response, what didn't, action items with owners and deadlines. Postmortems are kept in an internal document store, not published. (Lock 8.118.)</w:t>
            </w:r>
          </w:p>
        </w:tc>
      </w:tr>
    </w:tbl>
    <w:p>
      <w:pPr>
        <w:spacing w:after="80" w:before="80" w:line="300"/>
      </w:pPr>
      <w:r>
        <w:rPr>
          <w:rFonts w:ascii="Arial" w:cs="Arial" w:eastAsia="Arial" w:hAnsi="Arial"/>
          <w:color w:val="0F172A"/>
          <w:sz w:val="22"/>
          <w:szCs w:val="22"/>
        </w:rPr>
        <w:t xml:space="preserve">Postmortem discipline is the operational analog of the architecture discipline. Without postmortems, every incident is a one-shot — the team doesn't learn. With them, each incident produces a small permanent improvement to runbooks, alerts, or architecture. The internal-only framing is right for v1; if you ever want to publish them publicly later (some teams do as a trust-building signal), it's a small step from internal to external.</w:t>
      </w:r>
    </w:p>
    <w:p>
      <w:pPr>
        <w:pStyle w:val="Heading2"/>
        <w:spacing w:after="120" w:before="280"/>
      </w:pPr>
      <w:r>
        <w:rPr>
          <w:rFonts w:ascii="Arial" w:cs="Arial" w:eastAsia="Arial" w:hAnsi="Arial"/>
          <w:b/>
          <w:bCs/>
          <w:color w:val="0F172A"/>
          <w:sz w:val="28"/>
          <w:szCs w:val="28"/>
        </w:rPr>
        <w:t xml:space="preserve">15.5 Phase 2 upgrade to Posture C</w:t>
      </w:r>
    </w:p>
    <w:p>
      <w:pPr>
        <w:spacing w:after="80" w:before="80" w:line="300"/>
      </w:pPr>
      <w:r>
        <w:rPr>
          <w:rFonts w:ascii="Arial" w:cs="Arial" w:eastAsia="Arial" w:hAnsi="Arial"/>
          <w:color w:val="0F172A"/>
          <w:sz w:val="22"/>
          <w:szCs w:val="22"/>
        </w:rPr>
        <w:t xml:space="preserve">The triggers for upgrading to formal incident response infrastructure (PagerDuty/Opsgenie + public status page + formal SLA) are explicit in Lock 8.119:</w:t>
      </w:r>
    </w:p>
    <w:p>
      <w:pPr>
        <w:pStyle w:val="ListParagraph"/>
        <w:numPr>
          <w:ilvl w:val="0"/>
          <w:numId w:val="2"/>
        </w:numPr>
        <w:spacing w:after="60" w:before="60" w:line="300"/>
      </w:pPr>
      <w:r>
        <w:rPr>
          <w:rFonts w:ascii="Arial" w:cs="Arial" w:eastAsia="Arial" w:hAnsi="Arial"/>
          <w:color w:val="0F172A"/>
          <w:sz w:val="22"/>
          <w:szCs w:val="22"/>
        </w:rPr>
        <w:t xml:space="preserve">Team grows beyond 3 people</w:t>
      </w:r>
    </w:p>
    <w:p>
      <w:pPr>
        <w:pStyle w:val="ListParagraph"/>
        <w:numPr>
          <w:ilvl w:val="0"/>
          <w:numId w:val="2"/>
        </w:numPr>
        <w:spacing w:after="60" w:before="60" w:line="300"/>
      </w:pPr>
      <w:r>
        <w:rPr>
          <w:rFonts w:ascii="Arial" w:cs="Arial" w:eastAsia="Arial" w:hAnsi="Arial"/>
          <w:color w:val="0F172A"/>
          <w:sz w:val="22"/>
          <w:szCs w:val="22"/>
        </w:rPr>
        <w:t xml:space="preserve">An enterprise customer with explicit SLA requirements signs</w:t>
      </w:r>
    </w:p>
    <w:p>
      <w:pPr>
        <w:pStyle w:val="ListParagraph"/>
        <w:numPr>
          <w:ilvl w:val="0"/>
          <w:numId w:val="2"/>
        </w:numPr>
        <w:spacing w:after="60" w:before="60" w:line="300"/>
      </w:pPr>
      <w:r>
        <w:rPr>
          <w:rFonts w:ascii="Arial" w:cs="Arial" w:eastAsia="Arial" w:hAnsi="Arial"/>
          <w:color w:val="0F172A"/>
          <w:sz w:val="22"/>
          <w:szCs w:val="22"/>
        </w:rPr>
        <w:t xml:space="preserve">Incident frequency exceeds 1 P1 per quarter</w:t>
      </w:r>
    </w:p>
    <w:p>
      <w:pPr>
        <w:spacing w:after="80" w:before="80" w:line="300"/>
      </w:pPr>
      <w:r>
        <w:rPr>
          <w:rFonts w:ascii="Arial" w:cs="Arial" w:eastAsia="Arial" w:hAnsi="Arial"/>
          <w:color w:val="0F172A"/>
          <w:sz w:val="22"/>
          <w:szCs w:val="22"/>
        </w:rPr>
        <w:t xml:space="preserve">Whichever comes first triggers the upgrade. These triggers are doing important work — they tell you when Posture B has outgrown itself rather than letting you discover it the hard way.</w:t>
      </w:r>
    </w:p>
    <w:p>
      <w:pPr>
        <w:pStyle w:val="Heading2"/>
        <w:spacing w:after="120" w:before="280"/>
      </w:pPr>
      <w:r>
        <w:rPr>
          <w:rFonts w:ascii="Arial" w:cs="Arial" w:eastAsia="Arial" w:hAnsi="Arial"/>
          <w:b/>
          <w:bCs/>
          <w:color w:val="0F172A"/>
          <w:sz w:val="28"/>
          <w:szCs w:val="28"/>
        </w:rPr>
        <w:t xml:space="preserve">15.6 Alerting infrastructure for v1</w:t>
      </w:r>
    </w:p>
    <w:p>
      <w:pPr>
        <w:spacing w:after="80" w:before="80" w:line="300"/>
      </w:pPr>
      <w:r>
        <w:rPr>
          <w:rFonts w:ascii="Arial" w:cs="Arial" w:eastAsia="Arial" w:hAnsi="Arial"/>
          <w:color w:val="0F172A"/>
          <w:sz w:val="22"/>
          <w:szCs w:val="22"/>
        </w:rPr>
        <w:t xml:space="preserve">Cheapest possible alerting that meets the bar: P1 → SMS + email to primary on-call; backup notified if no acknowledgment within 15 minutes. P2 → email to both, no SMS. Alerting infrastructure: simple SMTP-to-SMS gateway or basic alerting via DigitalOcean's monitoring + email. NOT PagerDuty for v1 — at current scale, your phone is your pager.</w:t>
      </w:r>
    </w:p>
    <w:p>
      <w:pPr>
        <w:pStyle w:val="Heading2"/>
        <w:spacing w:after="120" w:before="280"/>
      </w:pPr>
      <w:r>
        <w:rPr>
          <w:rFonts w:ascii="Arial" w:cs="Arial" w:eastAsia="Arial" w:hAnsi="Arial"/>
          <w:b/>
          <w:bCs/>
          <w:color w:val="0F172A"/>
          <w:sz w:val="28"/>
          <w:szCs w:val="28"/>
        </w:rPr>
        <w:t xml:space="preserve">15.7 Incident response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300"/>
        <w:gridCol w:w="22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8.113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Incident response posture: Posture B. Founder (Vito) is primary on-call. A designated backup person — technical co-founder, contractor, or first engineering hire — is secondary. Identity TBD; the role is locked.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8.114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Runbook stubs are written before launch for every P1/P2 alert category from Workstreams 7 and 8: ledger integrity mismatch (P1), database unavailable (P1), drill failure (P1), cross-region replication broken (P1), side-effect failure rate elevated (P2), idempotency-keys table growth abnormal (P2), restore drill skipped (P2).</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8.115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Each runbook stub answers four questions: (1) what does this alert mean in plain language; (2) what's the first thing to check; (3) what's the escalation path; (4) what's the customer communication trigger.</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8.116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Customer communication templates are written before launch. Three templates minimum: 'we're investigating,' 'we've identified the issue,' 'we've resolved it.' Each includes placeholders for incident description, expected resolution time, and 'no action needed from you' framing where applicable.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8.117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Communication channel for incidents: email to affected tenants + in-app banner if incident affects a specific surface. NOT a public status page in v1.</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8.118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Postmortem requirement: every P1 incident receives a written postmortem within 7 days of resolution. Template covers: timeline, root cause, what worked, what didn't, action items with owners and deadlines. Internal document store, not published.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8.119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Phase 2 upgrade to Posture C: triggered when (a) team grows beyond 3 people, OR (b) an enterprise customer with explicit SLA requirements signs, OR (c) incident frequency exceeds 1 P1 per quarter. Whichever comes first.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Logged for Phase 2</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8.120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Alert routing for v1: P1 → SMS + email to primary on-call; backup notified if no acknowledgment within 15 min. P2 → email to both, no SMS. Alerting infrastructure: simple SMTP-to-SMS gateway or basic alerting via DigitalOcean's monitoring + email. NOT PagerDuty.</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bl>
    <w:p>
      <w:r>
        <w:br w:type="page"/>
      </w:r>
    </w:p>
    <w:p>
      <w:pPr>
        <w:pStyle w:val="Heading1"/>
        <w:spacing w:after="160" w:before="360"/>
      </w:pPr>
      <w:r>
        <w:rPr>
          <w:rFonts w:ascii="Arial" w:cs="Arial" w:eastAsia="Arial" w:hAnsi="Arial"/>
          <w:b/>
          <w:bCs/>
          <w:color w:val="0F172A"/>
          <w:sz w:val="36"/>
          <w:szCs w:val="36"/>
        </w:rPr>
        <w:t xml:space="preserve">16. Schema layering diagram</w:t>
      </w:r>
    </w:p>
    <w:p>
      <w:pPr>
        <w:spacing w:after="80" w:before="80" w:line="300"/>
      </w:pPr>
      <w:r>
        <w:rPr>
          <w:rFonts w:ascii="Arial" w:cs="Arial" w:eastAsia="Arial" w:hAnsi="Arial"/>
          <w:color w:val="0F172A"/>
          <w:sz w:val="22"/>
          <w:szCs w:val="22"/>
        </w:rPr>
        <w:t xml:space="preserve">Visual reference for the schema architecture. Three horizontal layers: application (FastAPI middleware + connection pool + admin app), Postgres (with tenant-scoped, hybrid, and admin partitions), and master tables (location/region-keyed reference data). The dashed boundary lines mark the architectural seams. The teal boundary at the top of the Postgres section is the RLS enforcement boundary — every query that crosses it filters by app.tenant_id.</w:t>
      </w:r>
    </w:p>
    <w:p>
      <w:pPr>
        <w:spacing w:after="160" w:before="160"/>
        <w:jc w:val="center"/>
      </w:pPr>
      <w:r>
        <w:drawing>
          <wp:inline distT="0" distB="0" distL="0" distR="0">
            <wp:extent cx="60960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133850"/>
                    </a:xfrm>
                    <a:prstGeom prst="rect">
                      <a:avLst/>
                    </a:prstGeom>
                  </pic:spPr>
                </pic:pic>
              </a:graphicData>
            </a:graphic>
          </wp:inline>
        </w:drawing>
      </w:r>
    </w:p>
    <w:p>
      <w:pPr>
        <w:spacing w:after="240" w:before="0"/>
        <w:jc w:val="center"/>
      </w:pPr>
      <w:r>
        <w:rPr>
          <w:rFonts w:ascii="Arial" w:cs="Arial" w:eastAsia="Arial" w:hAnsi="Arial"/>
          <w:i/>
          <w:iCs/>
          <w:color w:val="475569"/>
          <w:sz w:val="20"/>
          <w:szCs w:val="20"/>
        </w:rPr>
        <w:t xml:space="preserve">Figure: Database schema architecture across all four table-pattern types (T1/T2/T3/T4).</w:t>
      </w:r>
    </w:p>
    <w:p>
      <w:r>
        <w:br w:type="page"/>
      </w:r>
    </w:p>
    <w:p>
      <w:pPr>
        <w:pStyle w:val="Heading1"/>
        <w:spacing w:after="160" w:before="360"/>
      </w:pPr>
      <w:r>
        <w:rPr>
          <w:rFonts w:ascii="Arial" w:cs="Arial" w:eastAsia="Arial" w:hAnsi="Arial"/>
          <w:b/>
          <w:bCs/>
          <w:color w:val="0F172A"/>
          <w:sz w:val="36"/>
          <w:szCs w:val="36"/>
        </w:rPr>
        <w:t xml:space="preserve">17. Cross-cutting principles enforced by schema</w:t>
      </w:r>
    </w:p>
    <w:p>
      <w:pPr>
        <w:spacing w:after="80" w:before="80" w:line="300"/>
      </w:pPr>
      <w:r>
        <w:rPr>
          <w:rFonts w:ascii="Arial" w:cs="Arial" w:eastAsia="Arial" w:hAnsi="Arial"/>
          <w:color w:val="0F172A"/>
          <w:sz w:val="22"/>
          <w:szCs w:val="22"/>
        </w:rPr>
        <w:t xml:space="preserve">Six principles emerged across Workstream 8 that constrain every future feature design and every new table or column.</w:t>
      </w:r>
    </w:p>
    <w:p>
      <w:pPr>
        <w:pStyle w:val="Heading2"/>
        <w:spacing w:after="120" w:before="280"/>
      </w:pPr>
      <w:r>
        <w:rPr>
          <w:rFonts w:ascii="Arial" w:cs="Arial" w:eastAsia="Arial" w:hAnsi="Arial"/>
          <w:b/>
          <w:bCs/>
          <w:color w:val="0F172A"/>
          <w:sz w:val="28"/>
          <w:szCs w:val="28"/>
        </w:rPr>
        <w:t xml:space="preserve">17.1 RLS uses fail-safe pattern</w:t>
      </w:r>
    </w:p>
    <w:p>
      <w:pPr>
        <w:spacing w:after="80" w:before="80" w:line="300"/>
      </w:pPr>
      <w:r>
        <w:rPr>
          <w:rFonts w:ascii="Arial" w:cs="Arial" w:eastAsia="Arial" w:hAnsi="Arial"/>
          <w:color w:val="0F172A"/>
          <w:sz w:val="22"/>
          <w:szCs w:val="22"/>
        </w:rPr>
        <w:t xml:space="preserve">Lock 8.13. The RLS policy uses current_setting('app.tenant_id', true)::uuid. An unset session variable returns NULL → query returns zero rows → fail-safe. The worst-case failure mode is a user mysteriously seeing zero rows everywhere — a debuggable, recoverable failure rather than a privacy disaster.</w:t>
      </w:r>
    </w:p>
    <w:p>
      <w:pPr>
        <w:pStyle w:val="Heading2"/>
        <w:spacing w:after="120" w:before="280"/>
      </w:pPr>
      <w:r>
        <w:rPr>
          <w:rFonts w:ascii="Arial" w:cs="Arial" w:eastAsia="Arial" w:hAnsi="Arial"/>
          <w:b/>
          <w:bCs/>
          <w:color w:val="0F172A"/>
          <w:sz w:val="28"/>
          <w:szCs w:val="28"/>
        </w:rPr>
        <w:t xml:space="preserve">17.2 CI enforces RLS coverage on every new table</w:t>
      </w:r>
    </w:p>
    <w:p>
      <w:pPr>
        <w:spacing w:after="80" w:before="80" w:line="300"/>
      </w:pPr>
      <w:r>
        <w:rPr>
          <w:rFonts w:ascii="Arial" w:cs="Arial" w:eastAsia="Arial" w:hAnsi="Arial"/>
          <w:color w:val="0F172A"/>
          <w:sz w:val="22"/>
          <w:szCs w:val="22"/>
        </w:rPr>
        <w:t xml:space="preserve">Lock 8.51. A migration that adds a tenant-scoped table without an RLS policy is a CI failure. This is the architectural teeth on Lock 8.10 — without it, RLS coverage degrades over years as new tables are added casually.</w:t>
      </w:r>
    </w:p>
    <w:p>
      <w:pPr>
        <w:pStyle w:val="Heading2"/>
        <w:spacing w:after="120" w:before="280"/>
      </w:pPr>
      <w:r>
        <w:rPr>
          <w:rFonts w:ascii="Arial" w:cs="Arial" w:eastAsia="Arial" w:hAnsi="Arial"/>
          <w:b/>
          <w:bCs/>
          <w:color w:val="0F172A"/>
          <w:sz w:val="28"/>
          <w:szCs w:val="28"/>
        </w:rPr>
        <w:t xml:space="preserve">17.3 BYPASSRLS exists in exactly one place</w:t>
      </w:r>
    </w:p>
    <w:p>
      <w:pPr>
        <w:spacing w:after="80" w:before="80" w:line="300"/>
      </w:pPr>
      <w:r>
        <w:rPr>
          <w:rFonts w:ascii="Arial" w:cs="Arial" w:eastAsia="Arial" w:hAnsi="Arial"/>
          <w:color w:val="0F172A"/>
          <w:sz w:val="22"/>
          <w:szCs w:val="22"/>
        </w:rPr>
        <w:t xml:space="preserve">Lock 8.45. The analytics_writer role used by scheduled aggregation jobs. Every other pathway, including admin, goes through standard RLS with explicit tenant scoping. Even a catastrophic SQL injection in an admin endpoint cannot return cross-tenant data.</w:t>
      </w:r>
    </w:p>
    <w:p>
      <w:pPr>
        <w:pStyle w:val="Heading2"/>
        <w:spacing w:after="120" w:before="280"/>
      </w:pPr>
      <w:r>
        <w:rPr>
          <w:rFonts w:ascii="Arial" w:cs="Arial" w:eastAsia="Arial" w:hAnsi="Arial"/>
          <w:b/>
          <w:bCs/>
          <w:color w:val="0F172A"/>
          <w:sz w:val="28"/>
          <w:szCs w:val="28"/>
        </w:rPr>
        <w:t xml:space="preserve">17.4 The unified ledger and the integrity check</w:t>
      </w:r>
    </w:p>
    <w:p>
      <w:pPr>
        <w:spacing w:after="80" w:before="80" w:line="300"/>
      </w:pPr>
      <w:r>
        <w:rPr>
          <w:rFonts w:ascii="Arial" w:cs="Arial" w:eastAsia="Arial" w:hAnsi="Arial"/>
          <w:color w:val="0F172A"/>
          <w:sz w:val="22"/>
          <w:szCs w:val="22"/>
        </w:rPr>
        <w:t xml:space="preserve">Lock 6.32 + Lock 7.11. Every inventory mutation writes to inventory_movements with a typed movement_type. The nightly ledger integrity check verifies inventory_items.current_quantity = SUM(inventory_movements.delta) per ingredient per tenant. Code that bypasses the ledger triggers nightly P1 alerts.</w:t>
      </w:r>
    </w:p>
    <w:p>
      <w:pPr>
        <w:pStyle w:val="Heading2"/>
        <w:spacing w:after="120" w:before="280"/>
      </w:pPr>
      <w:r>
        <w:rPr>
          <w:rFonts w:ascii="Arial" w:cs="Arial" w:eastAsia="Arial" w:hAnsi="Arial"/>
          <w:b/>
          <w:bCs/>
          <w:color w:val="0F172A"/>
          <w:sz w:val="28"/>
          <w:szCs w:val="28"/>
        </w:rPr>
        <w:t xml:space="preserve">17.5 Append-only tables guarantee audit truth</w:t>
      </w:r>
    </w:p>
    <w:p>
      <w:pPr>
        <w:spacing w:after="80" w:before="80" w:line="300"/>
      </w:pPr>
      <w:r>
        <w:rPr>
          <w:rFonts w:ascii="Arial" w:cs="Arial" w:eastAsia="Arial" w:hAnsi="Arial"/>
          <w:color w:val="0F172A"/>
          <w:sz w:val="22"/>
          <w:szCs w:val="22"/>
        </w:rPr>
        <w:t xml:space="preserve">Lock 8.67. inventory_movements and admin_audit_log are immutable — no DELETE permitted by application. Code review enforces. Any code path that ever attempts to DELETE FROM these tables is rejected. The integrity check is the second line of defense.</w:t>
      </w:r>
    </w:p>
    <w:p>
      <w:pPr>
        <w:pStyle w:val="Heading2"/>
        <w:spacing w:after="120" w:before="280"/>
      </w:pPr>
      <w:r>
        <w:rPr>
          <w:rFonts w:ascii="Arial" w:cs="Arial" w:eastAsia="Arial" w:hAnsi="Arial"/>
          <w:b/>
          <w:bCs/>
          <w:color w:val="0F172A"/>
          <w:sz w:val="28"/>
          <w:szCs w:val="28"/>
        </w:rPr>
        <w:t xml:space="preserve">17.6 tenant_id is the leading column on composite indexes</w:t>
      </w:r>
    </w:p>
    <w:p>
      <w:pPr>
        <w:spacing w:after="80" w:before="80" w:line="300"/>
      </w:pPr>
      <w:r>
        <w:rPr>
          <w:rFonts w:ascii="Arial" w:cs="Arial" w:eastAsia="Arial" w:hAnsi="Arial"/>
          <w:color w:val="0F172A"/>
          <w:sz w:val="22"/>
          <w:szCs w:val="22"/>
        </w:rPr>
        <w:t xml:space="preserve">Lock 8.56. RLS filters by tenant_id first; Postgres can prune index scans by tenant before considering other predicates. Wrong-direction composite indexes (state, tenant_id) waste both space and query time. This is the most common multi-tenant indexing mistake; codifying it as a principle prevents it from accumulating across tables.</w:t>
      </w:r>
    </w:p>
    <w:p>
      <w:pPr>
        <w:pStyle w:val="Heading2"/>
        <w:spacing w:after="120" w:before="280"/>
      </w:pPr>
      <w:r>
        <w:rPr>
          <w:rFonts w:ascii="Arial" w:cs="Arial" w:eastAsia="Arial" w:hAnsi="Arial"/>
          <w:b/>
          <w:bCs/>
          <w:color w:val="0F172A"/>
          <w:sz w:val="28"/>
          <w:szCs w:val="28"/>
        </w:rPr>
        <w:t xml:space="preserve">17.7 Fail loud at the admin layer, fail soft at the user layer</w:t>
      </w:r>
    </w:p>
    <w:p>
      <w:pPr>
        <w:spacing w:after="80" w:before="80" w:line="300"/>
      </w:pPr>
      <w:r>
        <w:rPr>
          <w:rFonts w:ascii="Arial" w:cs="Arial" w:eastAsia="Arial" w:hAnsi="Arial"/>
          <w:color w:val="0F172A"/>
          <w:sz w:val="22"/>
          <w:szCs w:val="22"/>
        </w:rPr>
        <w:t xml:space="preserve">Lock 7.13 + Lock 8.105. When the system detects an integrity issue (ledger mismatch, restore drill failure), it raises P1 admin alerts and freezes specific automated activity (PO drafting), but it does NOT block the user's ability to operate their restaurant. Sales depletion continues, receipt commits continue, manual operations continue. The owner can keep running their business; what they can't do is have new POs auto-drafted while the issue is open. This is the right design for failures of internal systems — escalate to humans without disrupting users.</w:t>
      </w:r>
    </w:p>
    <w:p>
      <w:pPr>
        <w:pStyle w:val="Heading2"/>
        <w:spacing w:after="120" w:before="280"/>
      </w:pPr>
      <w:r>
        <w:rPr>
          <w:rFonts w:ascii="Arial" w:cs="Arial" w:eastAsia="Arial" w:hAnsi="Arial"/>
          <w:b/>
          <w:bCs/>
          <w:color w:val="0F172A"/>
          <w:sz w:val="28"/>
          <w:szCs w:val="28"/>
        </w:rPr>
        <w:t xml:space="preserve">17.8 Operational discipline self-corrects against drift</w:t>
      </w:r>
    </w:p>
    <w:p>
      <w:pPr>
        <w:spacing w:after="80" w:before="80" w:line="300"/>
      </w:pPr>
      <w:r>
        <w:rPr>
          <w:rFonts w:ascii="Arial" w:cs="Arial" w:eastAsia="Arial" w:hAnsi="Arial"/>
          <w:color w:val="0F172A"/>
          <w:sz w:val="22"/>
          <w:szCs w:val="22"/>
        </w:rPr>
        <w:t xml:space="preserve">Lock 8.103 + Lock 8.106 + Lock 8.119. Multiple architectural commitments include explicit triggers for upgrading to more rigorous discipline if humans can't maintain the current cadence. Slipped quarterly drills trigger a Phase 2 upgrade to continuous automated validation. Incident frequency exceeding 1 P1 per quarter triggers a Phase 2 upgrade to formal incident response. The system embeds the recognition that operational discipline degrades over time without explicit enforcement, and provides automatic upgrade paths when degradation is detected.</w:t>
      </w:r>
    </w:p>
    <w:p>
      <w:r>
        <w:br w:type="page"/>
      </w:r>
    </w:p>
    <w:p>
      <w:r>
        <w:br w:type="page"/>
      </w:r>
    </w:p>
    <w:p>
      <w:pPr>
        <w:pStyle w:val="Heading1"/>
        <w:spacing w:after="160" w:before="360"/>
      </w:pPr>
      <w:r>
        <w:rPr>
          <w:rFonts w:ascii="Arial" w:cs="Arial" w:eastAsia="Arial" w:hAnsi="Arial"/>
          <w:b/>
          <w:bCs/>
          <w:color w:val="0F172A"/>
          <w:sz w:val="36"/>
          <w:szCs w:val="36"/>
        </w:rPr>
        <w:t xml:space="preserve">18. Open items and next workstream</w:t>
      </w:r>
    </w:p>
    <w:p>
      <w:pPr>
        <w:pStyle w:val="Heading2"/>
        <w:spacing w:after="120" w:before="280"/>
      </w:pPr>
      <w:r>
        <w:rPr>
          <w:rFonts w:ascii="Arial" w:cs="Arial" w:eastAsia="Arial" w:hAnsi="Arial"/>
          <w:b/>
          <w:bCs/>
          <w:color w:val="0F172A"/>
          <w:sz w:val="28"/>
          <w:szCs w:val="28"/>
        </w:rPr>
        <w:t xml:space="preserve">18.1 Open in Workstream 8</w:t>
      </w:r>
    </w:p>
    <w:p>
      <w:pPr>
        <w:spacing w:after="80" w:before="80" w:line="300"/>
      </w:pPr>
      <w:r>
        <w:rPr>
          <w:rFonts w:ascii="Arial" w:cs="Arial" w:eastAsia="Arial" w:hAnsi="Arial"/>
          <w:color w:val="0F172A"/>
          <w:sz w:val="22"/>
          <w:szCs w:val="22"/>
        </w:rPr>
        <w:t xml:space="preserve">Workstream 8 is fully closed except for one open item that has been deferred to early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Item</w:t>
            </w:r>
          </w:p>
        </w:tc>
        <w:tc>
          <w:tcPr>
            <w:tcW w:type="dxa" w:w="15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c>
          <w:tcPr>
            <w:tcW w:type="dxa" w:w="4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Note</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Lock 8.5 — auth strategy</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Open</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Third-party (Auth0/Clerk/WorkOS) vs custom-built on Postgres + JWT. Decision needed at the start of implementation, not a blocker for further architecture work.</w:t>
            </w:r>
          </w:p>
        </w:tc>
      </w:tr>
    </w:tbl>
    <w:p>
      <w:pPr>
        <w:pStyle w:val="Heading2"/>
        <w:spacing w:after="120" w:before="280"/>
      </w:pPr>
      <w:r>
        <w:rPr>
          <w:rFonts w:ascii="Arial" w:cs="Arial" w:eastAsia="Arial" w:hAnsi="Arial"/>
          <w:b/>
          <w:bCs/>
          <w:color w:val="0F172A"/>
          <w:sz w:val="28"/>
          <w:szCs w:val="28"/>
        </w:rPr>
        <w:t xml:space="preserve">18.2 Engineering scope estimate</w:t>
      </w:r>
    </w:p>
    <w:p>
      <w:pPr>
        <w:spacing w:after="80" w:before="80" w:line="300"/>
      </w:pPr>
      <w:r>
        <w:rPr>
          <w:rFonts w:ascii="Arial" w:cs="Arial" w:eastAsia="Arial" w:hAnsi="Arial"/>
          <w:color w:val="0F172A"/>
          <w:sz w:val="22"/>
          <w:szCs w:val="22"/>
        </w:rPr>
        <w:t xml:space="preserve">With Workstream 8 closed, the platform-layer engineering total is now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Component</w:t>
            </w:r>
          </w:p>
        </w:tc>
        <w:tc>
          <w:tcPr>
            <w:tcW w:type="dxa" w:w="3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Estimate</w:t>
            </w:r>
          </w:p>
        </w:tc>
      </w:tr>
      <w:tr>
        <w:tc>
          <w:tcPr>
            <w:tcW w:type="dxa" w:w="6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Auth system (third-party integration if Auth0/Clerk)</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3-5 days</w:t>
            </w:r>
          </w:p>
        </w:tc>
      </w:tr>
      <w:tr>
        <w:tc>
          <w:tcPr>
            <w:tcW w:type="dxa" w:w="6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Auth system (custom-built)</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2-3 weeks</w:t>
            </w:r>
          </w:p>
        </w:tc>
      </w:tr>
      <w:tr>
        <w:tc>
          <w:tcPr>
            <w:tcW w:type="dxa" w:w="6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Tenant isolation enforcement (RLS + middleware)</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1-2 weeks</w:t>
            </w:r>
          </w:p>
        </w:tc>
      </w:tr>
      <w:tr>
        <w:tc>
          <w:tcPr>
            <w:tcW w:type="dxa" w:w="6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File storage integration (DO Spaces)</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3-5 days</w:t>
            </w:r>
          </w:p>
        </w:tc>
      </w:tr>
      <w:tr>
        <w:tc>
          <w:tcPr>
            <w:tcW w:type="dxa" w:w="6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Admin tooling (replacing Supabase Dashboard equivalent)</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1-2 weeks</w:t>
            </w:r>
          </w:p>
        </w:tc>
      </w:tr>
      <w:tr>
        <w:tc>
          <w:tcPr>
            <w:tcW w:type="dxa" w:w="6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DevOps setup (App Platform, Managed Postgres, monitoring, CI/CD, staging)</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1-2 weeks</w:t>
            </w:r>
          </w:p>
        </w:tc>
      </w:tr>
      <w:tr>
        <w:tc>
          <w:tcPr>
            <w:tcW w:type="dxa" w:w="6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Backup configuration + cross-region replication setup</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 day</w:t>
            </w:r>
          </w:p>
        </w:tc>
      </w:tr>
      <w:tr>
        <w:tc>
          <w:tcPr>
            <w:tcW w:type="dxa" w:w="6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Runbook stub authoring (P1/P2 categories) + comm templates</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2-3 days</w:t>
            </w:r>
          </w:p>
        </w:tc>
      </w:tr>
      <w:tr>
        <w:tc>
          <w:tcPr>
            <w:tcW w:type="dxa" w:w="6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Retention deletion jobs + account closure flow</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3-5 days</w:t>
            </w:r>
          </w:p>
        </w:tc>
      </w:tr>
      <w:tr>
        <w:tc>
          <w:tcPr>
            <w:tcW w:type="dxa" w:w="6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Compliance: data export pipeline + Settings → Privacy &amp; Data UI</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 week</w:t>
            </w:r>
          </w:p>
        </w:tc>
      </w:tr>
      <w:tr>
        <w:tc>
          <w:tcPr>
            <w:tcW w:type="dxa" w:w="6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Platform-layer engineering total</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~5-9 weeks depending on auth choice</w:t>
            </w:r>
          </w:p>
        </w:tc>
      </w:tr>
      <w:tr>
        <w:tc>
          <w:tcPr>
            <w:tcW w:type="dxa" w:w="6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Plus forecast engine (Lock 5.13)</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8-10 weeks</w:t>
            </w:r>
          </w:p>
        </w:tc>
      </w:tr>
      <w:tr>
        <w:tc>
          <w:tcPr>
            <w:tcW w:type="dxa" w:w="6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Plus the rest of v1 (UI, integrations, receiving flow, etc.)</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TBD per remaining workstreams</w:t>
            </w:r>
          </w:p>
        </w:tc>
      </w:tr>
      <w:tr>
        <w:tc>
          <w:tcPr>
            <w:tcW w:type="dxa" w:w="6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Core systems total before UI work</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~13-19 weeks</w:t>
            </w:r>
          </w:p>
        </w:tc>
      </w:tr>
    </w:tbl>
    <w:p>
      <w:pPr>
        <w:pStyle w:val="Heading2"/>
        <w:spacing w:after="120" w:before="280"/>
      </w:pPr>
      <w:r>
        <w:rPr>
          <w:rFonts w:ascii="Arial" w:cs="Arial" w:eastAsia="Arial" w:hAnsi="Arial"/>
          <w:b/>
          <w:bCs/>
          <w:color w:val="0F172A"/>
          <w:sz w:val="28"/>
          <w:szCs w:val="28"/>
        </w:rPr>
        <w:t xml:space="preserve">18.3 Next workstream</w:t>
      </w:r>
    </w:p>
    <w:p>
      <w:pPr>
        <w:spacing w:after="80" w:before="80" w:line="300"/>
      </w:pPr>
      <w:r>
        <w:rPr>
          <w:rFonts w:ascii="Arial" w:cs="Arial" w:eastAsia="Arial" w:hAnsi="Arial"/>
          <w:color w:val="0F172A"/>
          <w:sz w:val="22"/>
          <w:szCs w:val="22"/>
        </w:rPr>
        <w:t xml:space="preserve">Workstream 9 — Integration layer architecture — opens next. Captured in a separate standalone document (Integration Architecture v1) to keep memory clean. Scope:</w:t>
      </w:r>
    </w:p>
    <w:p>
      <w:pPr>
        <w:pStyle w:val="ListParagraph"/>
        <w:numPr>
          <w:ilvl w:val="0"/>
          <w:numId w:val="2"/>
        </w:numPr>
        <w:spacing w:after="60" w:before="60" w:line="300"/>
      </w:pPr>
      <w:r>
        <w:rPr>
          <w:rFonts w:ascii="Arial" w:cs="Arial" w:eastAsia="Arial" w:hAnsi="Arial"/>
          <w:b/>
          <w:bCs/>
          <w:color w:val="0F172A"/>
          <w:sz w:val="22"/>
          <w:szCs w:val="22"/>
        </w:rPr>
        <w:t xml:space="preserve">POS webhook contracts </w:t>
      </w:r>
      <w:r>
        <w:rPr>
          <w:rFonts w:ascii="Arial" w:cs="Arial" w:eastAsia="Arial" w:hAnsi="Arial"/>
          <w:color w:val="0F172A"/>
          <w:sz w:val="22"/>
          <w:szCs w:val="22"/>
        </w:rPr>
        <w:t xml:space="preserve">(Clover initially, design generic enough for Square/Toast in Phase 2)</w:t>
      </w:r>
    </w:p>
    <w:p>
      <w:pPr>
        <w:pStyle w:val="ListParagraph"/>
        <w:numPr>
          <w:ilvl w:val="0"/>
          <w:numId w:val="2"/>
        </w:numPr>
        <w:spacing w:after="60" w:before="60" w:line="300"/>
      </w:pPr>
      <w:r>
        <w:rPr>
          <w:rFonts w:ascii="Arial" w:cs="Arial" w:eastAsia="Arial" w:hAnsi="Arial"/>
          <w:b/>
          <w:bCs/>
          <w:color w:val="0F172A"/>
          <w:sz w:val="22"/>
          <w:szCs w:val="22"/>
        </w:rPr>
        <w:t xml:space="preserve">External signal API integration </w:t>
      </w:r>
      <w:r>
        <w:rPr>
          <w:rFonts w:ascii="Arial" w:cs="Arial" w:eastAsia="Arial" w:hAnsi="Arial"/>
          <w:color w:val="0F172A"/>
          <w:sz w:val="22"/>
          <w:szCs w:val="22"/>
        </w:rPr>
        <w:t xml:space="preserve">(Open-Meteo, Ticketmaster, Calendarific, canada-holidays.ca — fetch patterns, retry handling, rate limit handling, dedup keying)</w:t>
      </w:r>
    </w:p>
    <w:p>
      <w:pPr>
        <w:pStyle w:val="ListParagraph"/>
        <w:numPr>
          <w:ilvl w:val="0"/>
          <w:numId w:val="2"/>
        </w:numPr>
        <w:spacing w:after="60" w:before="60" w:line="300"/>
      </w:pPr>
      <w:r>
        <w:rPr>
          <w:rFonts w:ascii="Arial" w:cs="Arial" w:eastAsia="Arial" w:hAnsi="Arial"/>
          <w:b/>
          <w:bCs/>
          <w:color w:val="0F172A"/>
          <w:sz w:val="22"/>
          <w:szCs w:val="22"/>
        </w:rPr>
        <w:t xml:space="preserve">Anthropic API integration </w:t>
      </w:r>
      <w:r>
        <w:rPr>
          <w:rFonts w:ascii="Arial" w:cs="Arial" w:eastAsia="Arial" w:hAnsi="Arial"/>
          <w:color w:val="0F172A"/>
          <w:sz w:val="22"/>
          <w:szCs w:val="22"/>
        </w:rPr>
        <w:t xml:space="preserve">(recipe drafting, photo extraction, ingredient normalization — error handling, cost tracking)</w:t>
      </w:r>
    </w:p>
    <w:p>
      <w:pPr>
        <w:pStyle w:val="ListParagraph"/>
        <w:numPr>
          <w:ilvl w:val="0"/>
          <w:numId w:val="2"/>
        </w:numPr>
        <w:spacing w:after="60" w:before="60" w:line="300"/>
      </w:pPr>
      <w:r>
        <w:rPr>
          <w:rFonts w:ascii="Arial" w:cs="Arial" w:eastAsia="Arial" w:hAnsi="Arial"/>
          <w:b/>
          <w:bCs/>
          <w:color w:val="0F172A"/>
          <w:sz w:val="22"/>
          <w:szCs w:val="22"/>
        </w:rPr>
        <w:t xml:space="preserve">Stripe integration </w:t>
      </w:r>
      <w:r>
        <w:rPr>
          <w:rFonts w:ascii="Arial" w:cs="Arial" w:eastAsia="Arial" w:hAnsi="Arial"/>
          <w:color w:val="0F172A"/>
          <w:sz w:val="22"/>
          <w:szCs w:val="22"/>
        </w:rPr>
        <w:t xml:space="preserve">(subscription billing, payment failure handling)</w:t>
      </w:r>
    </w:p>
    <w:p>
      <w:pPr>
        <w:pStyle w:val="ListParagraph"/>
        <w:numPr>
          <w:ilvl w:val="0"/>
          <w:numId w:val="2"/>
        </w:numPr>
        <w:spacing w:after="60" w:before="60" w:line="300"/>
      </w:pPr>
      <w:r>
        <w:rPr>
          <w:rFonts w:ascii="Arial" w:cs="Arial" w:eastAsia="Arial" w:hAnsi="Arial"/>
          <w:b/>
          <w:bCs/>
          <w:color w:val="0F172A"/>
          <w:sz w:val="22"/>
          <w:szCs w:val="22"/>
        </w:rPr>
        <w:t xml:space="preserve">Email dispatch </w:t>
      </w:r>
      <w:r>
        <w:rPr>
          <w:rFonts w:ascii="Arial" w:cs="Arial" w:eastAsia="Arial" w:hAnsi="Arial"/>
          <w:color w:val="0F172A"/>
          <w:sz w:val="22"/>
          <w:szCs w:val="22"/>
        </w:rPr>
        <w:t xml:space="preserve">(transactional emails — receipts, alerts, supplier dispatch, breach notification capability)</w:t>
      </w:r>
    </w:p>
    <w:p>
      <w:pPr>
        <w:pStyle w:val="ListParagraph"/>
        <w:numPr>
          <w:ilvl w:val="0"/>
          <w:numId w:val="2"/>
        </w:numPr>
        <w:spacing w:after="60" w:before="60" w:line="300"/>
      </w:pPr>
      <w:r>
        <w:rPr>
          <w:rFonts w:ascii="Arial" w:cs="Arial" w:eastAsia="Arial" w:hAnsi="Arial"/>
          <w:b/>
          <w:bCs/>
          <w:color w:val="0F172A"/>
          <w:sz w:val="22"/>
          <w:szCs w:val="22"/>
        </w:rPr>
        <w:t xml:space="preserve">Logging/observability infrastructure </w:t>
      </w:r>
      <w:r>
        <w:rPr>
          <w:rFonts w:ascii="Arial" w:cs="Arial" w:eastAsia="Arial" w:hAnsi="Arial"/>
          <w:color w:val="0F172A"/>
          <w:sz w:val="22"/>
          <w:szCs w:val="22"/>
        </w:rPr>
        <w:t xml:space="preserve">(specific service decisions deferred from Locks 8.96, 8.93)</w:t>
      </w:r>
    </w:p>
    <w:p>
      <w:pPr>
        <w:spacing w:after="80" w:before="80" w:line="300"/>
      </w:pPr>
      <w:r>
        <w:rPr>
          <w:rFonts w:ascii="Arial" w:cs="Arial" w:eastAsia="Arial" w:hAnsi="Arial"/>
          <w:color w:val="0F172A"/>
          <w:sz w:val="22"/>
          <w:szCs w:val="22"/>
        </w:rPr>
        <w:t xml:space="preserve">Estimated 4-5 sub-rounds. We pick up there in the next conversation or whenever you're ready.</w:t>
      </w:r>
    </w:p>
    <w:p>
      <w:pPr>
        <w:pStyle w:val="Heading2"/>
        <w:spacing w:after="120" w:before="280"/>
      </w:pPr>
      <w:r>
        <w:rPr>
          <w:rFonts w:ascii="Arial" w:cs="Arial" w:eastAsia="Arial" w:hAnsi="Arial"/>
          <w:b/>
          <w:bCs/>
          <w:color w:val="0F172A"/>
          <w:sz w:val="28"/>
          <w:szCs w:val="28"/>
        </w:rPr>
        <w:t xml:space="preserve">18.4 How to use this document</w:t>
      </w:r>
    </w:p>
    <w:p>
      <w:pPr>
        <w:spacing w:after="80" w:before="80" w:line="300"/>
      </w:pPr>
      <w:r>
        <w:rPr>
          <w:rFonts w:ascii="Arial" w:cs="Arial" w:eastAsia="Arial" w:hAnsi="Arial"/>
          <w:color w:val="0F172A"/>
          <w:sz w:val="22"/>
          <w:szCs w:val="22"/>
        </w:rPr>
        <w:t xml:space="preserve">This is a standalone reference. It does not supersede Architecture Decision Log v3 — both documents hold simultaneously. v3 covers Workstreams 1-7. This document covers Workstream 8. When the full architecture work is complete (after Workstream 17), an integrated v4+ may consolidate everything into one master document, but until then the standalone format keeps memory and review focus clean.</w:t>
      </w:r>
    </w:p>
    <w:p>
      <w:pPr>
        <w:spacing w:after="80" w:before="80" w:line="300"/>
      </w:pPr>
      <w:r>
        <w:rPr>
          <w:rFonts w:ascii="Arial" w:cs="Arial" w:eastAsia="Arial" w:hAnsi="Arial"/>
          <w:color w:val="0F172A"/>
          <w:sz w:val="22"/>
          <w:szCs w:val="22"/>
        </w:rPr>
        <w:t xml:space="preserve">When reviewing schema, RLS, multi-tenancy, indexes, migrations, compliance, or operational posture — this document is the authoritative reference. When reviewing depletion-loop or post-receipt integrity decisions, v3 is the authoritative reference. Both reference v5 (onboarding) for upstream decisions.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Lock numbering convention: </w:t>
            </w:r>
            <w:r>
              <w:rPr>
                <w:rFonts w:ascii="Arial" w:cs="Arial" w:eastAsia="Arial" w:hAnsi="Arial"/>
                <w:color w:val="0F172A"/>
                <w:sz w:val="22"/>
                <w:szCs w:val="22"/>
              </w:rPr>
              <w:t xml:space="preserve">Locks numbered 8.1–8.120 belong to Workstream 8. Locks numbered 1.x–7.x belong to Workstreams 1–7 (covered in Architecture Decision Log v3). Locks numbered with v5 §X.Y belong to onboarding (covered in Onboarding Decision Log v5). Locks are stable across documents — a citation 'per Lock 8.45' means the same thing forever.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66E" w:sz="4" w:space="6"/>
      </w:pBdr>
      <w:spacing w:after="0" w:before="0"/>
      <w:jc w:val="right"/>
    </w:pPr>
    <w:r>
      <w:rPr>
        <w:rFonts w:ascii="Arial" w:cs="Arial" w:eastAsia="Arial" w:hAnsi="Arial"/>
        <w:color w:val="475569"/>
        <w:sz w:val="18"/>
        <w:szCs w:val="18"/>
      </w:rPr>
      <w:t xml:space="preserve">ReorderOS — Database Architecture (Workstream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F172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5d12d98c345d6d684b322c0c53d3f0c32ec1ca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ReorderOS Database Architecture v2 — Workstream 8 (complete)</dc:title>
  <dc:creator>Vito (ReorderOS)</dc:creator>
  <dc:description>Schema, RLS, multi-tenancy, indexes, migrations, compliance, backup/DR, incident response</dc:description>
  <cp:lastModifiedBy>Un-named</cp:lastModifiedBy>
  <cp:revision>1</cp:revision>
  <dcterms:created xsi:type="dcterms:W3CDTF">2026-04-28T20:30:10.740Z</dcterms:created>
  <dcterms:modified xsi:type="dcterms:W3CDTF">2026-04-28T20:30:10.741Z</dcterms:modified>
</cp:coreProperties>
</file>

<file path=docProps/custom.xml><?xml version="1.0" encoding="utf-8"?>
<Properties xmlns="http://schemas.openxmlformats.org/officeDocument/2006/custom-properties" xmlns:vt="http://schemas.openxmlformats.org/officeDocument/2006/docPropsVTypes"/>
</file>