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0F766E"/>
          <w:spacing w:val="60"/>
          <w:sz w:val="28"/>
          <w:szCs w:val="28"/>
        </w:rPr>
        <w:t xml:space="preserve">REORDEROS</w:t>
      </w:r>
    </w:p>
    <w:p>
      <w:pPr>
        <w:spacing w:after="80" w:before="0"/>
      </w:pPr>
      <w:r>
        <w:rPr>
          <w:rFonts w:ascii="Arial" w:cs="Arial" w:eastAsia="Arial" w:hAnsi="Arial"/>
          <w:b/>
          <w:bCs/>
          <w:color w:val="0F172A"/>
          <w:sz w:val="44"/>
          <w:szCs w:val="44"/>
        </w:rPr>
        <w:t xml:space="preserve">Architecture Decision Log</w:t>
      </w:r>
    </w:p>
    <w:p>
      <w:pPr>
        <w:spacing w:after="320" w:before="0"/>
      </w:pPr>
      <w:r>
        <w:rPr>
          <w:rFonts w:ascii="Arial" w:cs="Arial" w:eastAsia="Arial" w:hAnsi="Arial"/>
          <w:i/>
          <w:iCs/>
          <w:color w:val="475569"/>
          <w:sz w:val="26"/>
          <w:szCs w:val="26"/>
        </w:rPr>
        <w:t xml:space="preserve">v2.0 — Depletion Loop, Rounds 1–6 closed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2"/>
              <w:left w:val="single" w:color="0F766E" w:sz="12"/>
              <w:bottom w:val="single" w:color="0F766E" w:sz="4"/>
              <w:right w:val="single" w:color="0F766E" w:sz="4"/>
            </w:tcBorders>
            <w:shd w:fill="CCFBF1" w:val="clear"/>
            <w:tcMar>
              <w:top w:type="dxa" w:w="200"/>
              <w:left w:type="dxa" w:w="280"/>
              <w:bottom w:type="dxa" w:w="200"/>
              <w:right w:type="dxa" w:w="280"/>
            </w:tcMar>
          </w:tcPr>
          <w:p>
            <w:pPr>
              <w:spacing w:after="80" w:before="0" w:line="300"/>
            </w:pPr>
            <w:r>
              <w:rPr>
                <w:rFonts w:ascii="Arial" w:cs="Arial" w:eastAsia="Arial" w:hAnsi="Arial"/>
                <w:b/>
                <w:bCs/>
                <w:color w:val="0F172A"/>
                <w:sz w:val="22"/>
                <w:szCs w:val="22"/>
              </w:rPr>
              <w:t xml:space="preserve">Document purpose. </w:t>
            </w:r>
            <w:r>
              <w:rPr>
                <w:rFonts w:ascii="Arial" w:cs="Arial" w:eastAsia="Arial" w:hAnsi="Arial"/>
                <w:color w:val="0F172A"/>
                <w:sz w:val="22"/>
                <w:szCs w:val="22"/>
              </w:rPr>
              <w:t xml:space="preserve">This is the canonical decision log for the architecture deep-dive workstream — the project that begins where the v5 onboarding decision log ends. v5 closed onboarding (Steps 1–7 plus post-onboarding). This document picks up at §34 of v5 and tracks how the product operates day-to-day after onboarding completes.</w:t>
            </w:r>
          </w:p>
          <w:p>
            <w:pPr>
              <w:spacing w:after="80" w:before="80" w:line="300"/>
            </w:pPr>
            <w:r>
              <w:rPr>
                <w:rFonts w:ascii="Arial" w:cs="Arial" w:eastAsia="Arial" w:hAnsi="Arial"/>
                <w:color w:val="0F172A"/>
                <w:sz w:val="22"/>
                <w:szCs w:val="22"/>
              </w:rPr>
              <w:t xml:space="preserve"/>
            </w:r>
          </w:p>
          <w:p>
            <w:pPr>
              <w:spacing w:after="80" w:before="80" w:line="300"/>
            </w:pPr>
            <w:r>
              <w:rPr>
                <w:rFonts w:ascii="Arial" w:cs="Arial" w:eastAsia="Arial" w:hAnsi="Arial"/>
                <w:b/>
                <w:bCs/>
                <w:color w:val="0F172A"/>
                <w:sz w:val="22"/>
                <w:szCs w:val="22"/>
              </w:rPr>
              <w:t xml:space="preserve">Status. </w:t>
            </w:r>
            <w:r>
              <w:rPr>
                <w:rFonts w:ascii="Arial" w:cs="Arial" w:eastAsia="Arial" w:hAnsi="Arial"/>
                <w:color w:val="0F172A"/>
                <w:sz w:val="22"/>
                <w:szCs w:val="22"/>
              </w:rPr>
              <w:t xml:space="preserve">Rounds 1 through 6 closed. The full depletion loop is now spec-complete — forecast outputs, reasoning trace, determinism, learning loops, granularity, methods, cold-start, receiving timing, receiving UX, receipt data model, PO state machine, and agent architecture are all locked. v2 supersedes v1.</w:t>
            </w:r>
          </w:p>
          <w:p>
            <w:pPr>
              <w:spacing w:after="80" w:before="80" w:line="300"/>
            </w:pPr>
            <w:r>
              <w:rPr>
                <w:rFonts w:ascii="Arial" w:cs="Arial" w:eastAsia="Arial" w:hAnsi="Arial"/>
                <w:color w:val="0F172A"/>
                <w:sz w:val="22"/>
                <w:szCs w:val="22"/>
              </w:rPr>
              <w:t xml:space="preserve"/>
            </w:r>
          </w:p>
          <w:p>
            <w:pPr>
              <w:spacing w:after="80" w:before="80" w:line="300"/>
            </w:pPr>
            <w:r>
              <w:rPr>
                <w:rFonts w:ascii="Arial" w:cs="Arial" w:eastAsia="Arial" w:hAnsi="Arial"/>
                <w:b/>
                <w:bCs/>
                <w:color w:val="0F172A"/>
                <w:sz w:val="22"/>
                <w:szCs w:val="22"/>
              </w:rPr>
              <w:t xml:space="preserve">What's new in v2. </w:t>
            </w:r>
            <w:r>
              <w:rPr>
                <w:rFonts w:ascii="Arial" w:cs="Arial" w:eastAsia="Arial" w:hAnsi="Arial"/>
                <w:color w:val="0F172A"/>
                <w:sz w:val="22"/>
                <w:szCs w:val="22"/>
              </w:rPr>
              <w:t xml:space="preserve">Round 6 (receiving flow + agent architecture) added in full. Two architectural diagrams embedded — the PO state machine and the agent's batch+sync layered architecture. Verification checklist expanded to cover all Round 6 locks.</w:t>
            </w:r>
          </w:p>
          <w:p>
            <w:pPr>
              <w:spacing w:after="80" w:before="80" w:line="300"/>
            </w:pPr>
            <w:r>
              <w:rPr>
                <w:rFonts w:ascii="Arial" w:cs="Arial" w:eastAsia="Arial" w:hAnsi="Arial"/>
                <w:color w:val="0F172A"/>
                <w:sz w:val="22"/>
                <w:szCs w:val="22"/>
              </w:rPr>
              <w:t xml:space="preserve"/>
            </w:r>
          </w:p>
          <w:p>
            <w:pPr>
              <w:spacing w:after="80" w:before="80" w:line="300"/>
            </w:pPr>
            <w:r>
              <w:rPr>
                <w:rFonts w:ascii="Arial" w:cs="Arial" w:eastAsia="Arial" w:hAnsi="Arial"/>
                <w:b/>
                <w:bCs/>
                <w:color w:val="0F172A"/>
                <w:sz w:val="22"/>
                <w:szCs w:val="22"/>
              </w:rPr>
              <w:t xml:space="preserve">Use this document as the baseline reference for every architecture conversation that follows. </w:t>
            </w:r>
            <w:r>
              <w:rPr>
                <w:rFonts w:ascii="Arial" w:cs="Arial" w:eastAsia="Arial" w:hAnsi="Arial"/>
                <w:color w:val="0F172A"/>
                <w:sz w:val="22"/>
                <w:szCs w:val="22"/>
              </w:rPr>
              <w:t xml:space="preserve">If something feels drifted, read the relevant decision verbatim before relitigating it. The lock tables at the end of each round are the source of truth.</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Field</w:t>
            </w:r>
          </w:p>
        </w:tc>
        <w:tc>
          <w:tcPr>
            <w:tcW w:type="dxa" w:w="696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Value</w:t>
            </w:r>
          </w:p>
        </w:tc>
      </w:tr>
      <w:tr>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Document version</w:t>
            </w:r>
          </w:p>
        </w:tc>
        <w:tc>
          <w:tcPr>
            <w:tcW w:type="dxa" w:w="69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2.0</w:t>
            </w:r>
          </w:p>
        </w:tc>
      </w:tr>
      <w:tr>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Workstream</w:t>
            </w:r>
          </w:p>
        </w:tc>
        <w:tc>
          <w:tcPr>
            <w:tcW w:type="dxa" w:w="69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Architecture deep-dive — Depletion Loop</w:t>
            </w:r>
          </w:p>
        </w:tc>
      </w:tr>
      <w:tr>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Predecessor</w:t>
            </w:r>
          </w:p>
        </w:tc>
        <w:tc>
          <w:tcPr>
            <w:tcW w:type="dxa" w:w="69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Architecture Decision Log v1 + ReorderOS Onboarding Decision Log v5 (FINAL)</w:t>
            </w:r>
          </w:p>
        </w:tc>
      </w:tr>
      <w:tr>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Prepared for</w:t>
            </w:r>
          </w:p>
        </w:tc>
        <w:tc>
          <w:tcPr>
            <w:tcW w:type="dxa" w:w="69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Vito (Founder, ReorderOS)</w:t>
            </w:r>
          </w:p>
        </w:tc>
      </w:tr>
      <w:tr>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Date generated</w:t>
            </w:r>
          </w:p>
        </w:tc>
        <w:tc>
          <w:tcPr>
            <w:tcW w:type="dxa" w:w="69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April 28, 2026</w:t>
            </w:r>
          </w:p>
        </w:tc>
      </w:tr>
      <w:tr>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Status</w:t>
            </w:r>
          </w:p>
        </w:tc>
        <w:tc>
          <w:tcPr>
            <w:tcW w:type="dxa" w:w="69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Rounds 1–6 closed; depletion loop spec-complete</w:t>
            </w:r>
          </w:p>
        </w:tc>
      </w:tr>
      <w:tr>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Next workstream</w:t>
            </w:r>
          </w:p>
        </w:tc>
        <w:tc>
          <w:tcPr>
            <w:tcW w:type="dxa" w:w="69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Receiving UX micro-interactions (overages, didn't-arrive recovery), or move to Dashboard architecture</w:t>
            </w:r>
          </w:p>
        </w:tc>
      </w:tr>
    </w:tbl>
    <w:p>
      <w:r>
        <w:br w:type="page"/>
      </w:r>
    </w:p>
    <w:p>
      <w:pPr>
        <w:pStyle w:val="Heading1"/>
        <w:spacing w:after="160" w:before="360"/>
      </w:pPr>
      <w:r>
        <w:rPr>
          <w:rFonts w:ascii="Arial" w:cs="Arial" w:eastAsia="Arial" w:hAnsi="Arial"/>
          <w:b/>
          <w:bCs/>
          <w:color w:val="0F172A"/>
          <w:sz w:val="36"/>
          <w:szCs w:val="36"/>
        </w:rPr>
        <w:t xml:space="preserve">Contents</w:t>
      </w:r>
    </w:p>
    <w:p>
      <w:pPr>
        <w:spacing w:after="60" w:before="60"/>
      </w:pPr>
      <w:r>
        <w:rPr>
          <w:rFonts w:ascii="Arial" w:cs="Arial" w:eastAsia="Arial" w:hAnsi="Arial"/>
          <w:color w:val="0F172A"/>
          <w:sz w:val="22"/>
          <w:szCs w:val="22"/>
        </w:rPr>
        <w:t xml:space="preserve">1.  Executive snapshot — the consequential locks</w:t>
      </w:r>
    </w:p>
    <w:p>
      <w:pPr>
        <w:spacing w:after="60" w:before="60"/>
      </w:pPr>
      <w:r>
        <w:rPr>
          <w:rFonts w:ascii="Arial" w:cs="Arial" w:eastAsia="Arial" w:hAnsi="Arial"/>
          <w:color w:val="0F172A"/>
          <w:sz w:val="22"/>
          <w:szCs w:val="22"/>
        </w:rPr>
        <w:t xml:space="preserve">2.  How this document relates to v5</w:t>
      </w:r>
    </w:p>
    <w:p>
      <w:pPr>
        <w:spacing w:after="60" w:before="60"/>
      </w:pPr>
      <w:r>
        <w:rPr>
          <w:rFonts w:ascii="Arial" w:cs="Arial" w:eastAsia="Arial" w:hAnsi="Arial"/>
          <w:color w:val="0F172A"/>
          <w:sz w:val="22"/>
          <w:szCs w:val="22"/>
        </w:rPr>
        <w:t xml:space="preserve">3.  Round 1: Forecast engine outputs</w:t>
      </w:r>
    </w:p>
    <w:p>
      <w:pPr>
        <w:spacing w:after="60" w:before="60"/>
      </w:pPr>
      <w:r>
        <w:rPr>
          <w:rFonts w:ascii="Arial" w:cs="Arial" w:eastAsia="Arial" w:hAnsi="Arial"/>
          <w:color w:val="0F172A"/>
          <w:sz w:val="22"/>
          <w:szCs w:val="22"/>
        </w:rPr>
        <w:t xml:space="preserve">4.  Round 2: Determinism and the reasoning trace</w:t>
      </w:r>
    </w:p>
    <w:p>
      <w:pPr>
        <w:spacing w:after="60" w:before="60"/>
      </w:pPr>
      <w:r>
        <w:rPr>
          <w:rFonts w:ascii="Arial" w:cs="Arial" w:eastAsia="Arial" w:hAnsi="Arial"/>
          <w:color w:val="0F172A"/>
          <w:sz w:val="22"/>
          <w:szCs w:val="22"/>
        </w:rPr>
        <w:t xml:space="preserve">5.  Round 3: PO feedback loop — purpose and structure</w:t>
      </w:r>
    </w:p>
    <w:p>
      <w:pPr>
        <w:spacing w:after="60" w:before="60"/>
      </w:pPr>
      <w:r>
        <w:rPr>
          <w:rFonts w:ascii="Arial" w:cs="Arial" w:eastAsia="Arial" w:hAnsi="Arial"/>
          <w:color w:val="0F172A"/>
          <w:sz w:val="22"/>
          <w:szCs w:val="22"/>
        </w:rPr>
        <w:t xml:space="preserve">6.  Round 4: PO feedback loop — collection mechanics</w:t>
      </w:r>
    </w:p>
    <w:p>
      <w:pPr>
        <w:spacing w:after="60" w:before="60"/>
      </w:pPr>
      <w:r>
        <w:rPr>
          <w:rFonts w:ascii="Arial" w:cs="Arial" w:eastAsia="Arial" w:hAnsi="Arial"/>
          <w:color w:val="0F172A"/>
          <w:sz w:val="22"/>
          <w:szCs w:val="22"/>
        </w:rPr>
        <w:t xml:space="preserve">7.  Round 5: Forecast math, signals, and cold-start</w:t>
      </w:r>
    </w:p>
    <w:p>
      <w:pPr>
        <w:spacing w:after="60" w:before="60"/>
      </w:pPr>
      <w:r>
        <w:rPr>
          <w:rFonts w:ascii="Arial" w:cs="Arial" w:eastAsia="Arial" w:hAnsi="Arial"/>
          <w:color w:val="0F172A"/>
          <w:sz w:val="22"/>
          <w:szCs w:val="22"/>
        </w:rPr>
        <w:t xml:space="preserve">8.  Round 6a: Receiving timing and escalation</w:t>
      </w:r>
    </w:p>
    <w:p>
      <w:pPr>
        <w:spacing w:after="60" w:before="60"/>
      </w:pPr>
      <w:r>
        <w:rPr>
          <w:rFonts w:ascii="Arial" w:cs="Arial" w:eastAsia="Arial" w:hAnsi="Arial"/>
          <w:color w:val="0F172A"/>
          <w:sz w:val="22"/>
          <w:szCs w:val="22"/>
        </w:rPr>
        <w:t xml:space="preserve">9.  Round 6b: Receiving UX (photo-first, variance, submit)</w:t>
      </w:r>
    </w:p>
    <w:p>
      <w:pPr>
        <w:spacing w:after="60" w:before="60"/>
      </w:pPr>
      <w:r>
        <w:rPr>
          <w:rFonts w:ascii="Arial" w:cs="Arial" w:eastAsia="Arial" w:hAnsi="Arial"/>
          <w:color w:val="0F172A"/>
          <w:sz w:val="22"/>
          <w:szCs w:val="22"/>
        </w:rPr>
        <w:t xml:space="preserve">10. Round 6c: Receipt data model and PO state machine</w:t>
      </w:r>
    </w:p>
    <w:p>
      <w:pPr>
        <w:spacing w:after="60" w:before="60"/>
      </w:pPr>
      <w:r>
        <w:rPr>
          <w:rFonts w:ascii="Arial" w:cs="Arial" w:eastAsia="Arial" w:hAnsi="Arial"/>
          <w:color w:val="0F172A"/>
          <w:sz w:val="22"/>
          <w:szCs w:val="22"/>
        </w:rPr>
        <w:t xml:space="preserve">11. Round 6d: Agent architecture (batch + synchronous)</w:t>
      </w:r>
    </w:p>
    <w:p>
      <w:pPr>
        <w:spacing w:after="60" w:before="60"/>
      </w:pPr>
      <w:r>
        <w:rPr>
          <w:rFonts w:ascii="Arial" w:cs="Arial" w:eastAsia="Arial" w:hAnsi="Arial"/>
          <w:color w:val="0F172A"/>
          <w:sz w:val="22"/>
          <w:szCs w:val="22"/>
        </w:rPr>
        <w:t xml:space="preserve">12. Architectural diagrams (PO state machine + agent architecture)</w:t>
      </w:r>
    </w:p>
    <w:p>
      <w:pPr>
        <w:spacing w:after="60" w:before="60"/>
      </w:pPr>
      <w:r>
        <w:rPr>
          <w:rFonts w:ascii="Arial" w:cs="Arial" w:eastAsia="Arial" w:hAnsi="Arial"/>
          <w:color w:val="0F172A"/>
          <w:sz w:val="22"/>
          <w:szCs w:val="22"/>
        </w:rPr>
        <w:t xml:space="preserve">13. Cross-cutting principles locked across rounds</w:t>
      </w:r>
    </w:p>
    <w:p>
      <w:pPr>
        <w:spacing w:after="60" w:before="60"/>
      </w:pPr>
      <w:r>
        <w:rPr>
          <w:rFonts w:ascii="Arial" w:cs="Arial" w:eastAsia="Arial" w:hAnsi="Arial"/>
          <w:color w:val="0F172A"/>
          <w:sz w:val="22"/>
          <w:szCs w:val="22"/>
        </w:rPr>
        <w:t xml:space="preserve">14. The depletion loop status board</w:t>
      </w:r>
    </w:p>
    <w:p>
      <w:pPr>
        <w:spacing w:after="60" w:before="60"/>
      </w:pPr>
      <w:r>
        <w:rPr>
          <w:rFonts w:ascii="Arial" w:cs="Arial" w:eastAsia="Arial" w:hAnsi="Arial"/>
          <w:color w:val="0F172A"/>
          <w:sz w:val="22"/>
          <w:szCs w:val="22"/>
        </w:rPr>
        <w:t xml:space="preserve">15. Tracked risks, watch items, and open questions</w:t>
      </w:r>
    </w:p>
    <w:p>
      <w:pPr>
        <w:spacing w:after="60" w:before="60"/>
      </w:pPr>
      <w:r>
        <w:rPr>
          <w:rFonts w:ascii="Arial" w:cs="Arial" w:eastAsia="Arial" w:hAnsi="Arial"/>
          <w:color w:val="0F172A"/>
          <w:sz w:val="22"/>
          <w:szCs w:val="22"/>
        </w:rPr>
        <w:t xml:space="preserve">16. What comes next</w:t>
      </w:r>
    </w:p>
    <w:p>
      <w:pPr>
        <w:spacing w:after="60" w:before="60"/>
      </w:pPr>
      <w:r>
        <w:rPr>
          <w:rFonts w:ascii="Arial" w:cs="Arial" w:eastAsia="Arial" w:hAnsi="Arial"/>
          <w:color w:val="0F172A"/>
          <w:sz w:val="22"/>
          <w:szCs w:val="22"/>
        </w:rPr>
        <w:t xml:space="preserve">17. Verification checklist v2</w:t>
      </w:r>
    </w:p>
    <w:p>
      <w:r>
        <w:br w:type="page"/>
      </w:r>
    </w:p>
    <w:p>
      <w:pPr>
        <w:pStyle w:val="Heading1"/>
        <w:spacing w:after="160" w:before="360"/>
      </w:pPr>
      <w:r>
        <w:rPr>
          <w:rFonts w:ascii="Arial" w:cs="Arial" w:eastAsia="Arial" w:hAnsi="Arial"/>
          <w:b/>
          <w:bCs/>
          <w:color w:val="0F172A"/>
          <w:sz w:val="36"/>
          <w:szCs w:val="36"/>
        </w:rPr>
        <w:t xml:space="preserve">1. Executive snapshot — the consequential locks</w:t>
      </w:r>
    </w:p>
    <w:p>
      <w:pPr>
        <w:spacing w:after="80" w:before="80" w:line="300"/>
      </w:pPr>
      <w:r>
        <w:rPr>
          <w:rFonts w:ascii="Arial" w:cs="Arial" w:eastAsia="Arial" w:hAnsi="Arial"/>
          <w:color w:val="0F172A"/>
          <w:sz w:val="22"/>
          <w:szCs w:val="22"/>
        </w:rPr>
        <w:t xml:space="preserve">Eight decisions across Rounds 1–6 carry the most architectural weight. If anything in this document drifts, drift here is the most expensive.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2"/>
              <w:left w:val="single" w:color="0F766E" w:sz="12"/>
              <w:bottom w:val="single" w:color="0F766E" w:sz="4"/>
              <w:right w:val="single" w:color="0F766E" w:sz="4"/>
            </w:tcBorders>
            <w:shd w:fill="CCFBF1" w:val="clear"/>
            <w:tcMar>
              <w:top w:type="dxa" w:w="200"/>
              <w:left w:type="dxa" w:w="280"/>
              <w:bottom w:type="dxa" w:w="200"/>
              <w:right w:type="dxa" w:w="280"/>
            </w:tcMar>
          </w:tcPr>
          <w:p>
            <w:pPr>
              <w:spacing w:after="80" w:before="0" w:line="300"/>
            </w:pPr>
            <w:r>
              <w:rPr>
                <w:rFonts w:ascii="Arial" w:cs="Arial" w:eastAsia="Arial" w:hAnsi="Arial"/>
                <w:b/>
                <w:bCs/>
                <w:color w:val="0F172A"/>
                <w:sz w:val="22"/>
                <w:szCs w:val="22"/>
              </w:rPr>
              <w:t xml:space="preserve">Lock 1 — The forecast engine produces two artifacts per nightly run. </w:t>
            </w:r>
            <w:r>
              <w:rPr>
                <w:rFonts w:ascii="Arial" w:cs="Arial" w:eastAsia="Arial" w:hAnsi="Arial"/>
                <w:color w:val="0F172A"/>
                <w:sz w:val="22"/>
                <w:szCs w:val="22"/>
              </w:rPr>
              <w:t xml:space="preserve">Per-ingredient depletion timeline (canonical for "when will I run out") and per-supplier draft POs (canonical for "what's getting ordered, when it arrives, why"). They reference each other but neither is downstream of the other. When they appear to disagree ("tomatoes run out Wed" vs "Sysco delivery Fri"), both are shown — they answer different questions.</w:t>
            </w:r>
          </w:p>
          <w:p>
            <w:pPr>
              <w:spacing w:after="80" w:before="80" w:line="300"/>
            </w:pPr>
            <w:r>
              <w:rPr>
                <w:rFonts w:ascii="Arial" w:cs="Arial" w:eastAsia="Arial" w:hAnsi="Arial"/>
                <w:color w:val="0F172A"/>
                <w:sz w:val="22"/>
                <w:szCs w:val="22"/>
              </w:rPr>
              <w:t xml:space="preserve"/>
            </w:r>
          </w:p>
          <w:p>
            <w:pPr>
              <w:spacing w:after="80" w:before="80" w:line="300"/>
            </w:pPr>
            <w:r>
              <w:rPr>
                <w:rFonts w:ascii="Arial" w:cs="Arial" w:eastAsia="Arial" w:hAnsi="Arial"/>
                <w:b/>
                <w:bCs/>
                <w:color w:val="0F172A"/>
                <w:sz w:val="22"/>
                <w:szCs w:val="22"/>
              </w:rPr>
              <w:t xml:space="preserve">Lock 2 — The forecast engine is fully deterministic. </w:t>
            </w:r>
            <w:r>
              <w:rPr>
                <w:rFonts w:ascii="Arial" w:cs="Arial" w:eastAsia="Arial" w:hAnsi="Arial"/>
                <w:color w:val="0F172A"/>
                <w:sz w:val="22"/>
                <w:szCs w:val="22"/>
              </w:rPr>
              <w:t xml:space="preserve">No LLM in the forecasting math. No LLM in PO drafting. No LLM in the reasoning trace. Same inputs produce the same outputs every run. This makes the Variance Report meaningful, owner trust recoverable, and per-tenant compute bounded. LLM is permitted in already-locked surfaces (recipe drafting, menu cleanup, ingredient normalization, photo extraction pre-fill on receiving) but not anywhere in the forecast or PO pipeline.</w:t>
            </w:r>
          </w:p>
          <w:p>
            <w:pPr>
              <w:spacing w:after="80" w:before="80" w:line="300"/>
            </w:pPr>
            <w:r>
              <w:rPr>
                <w:rFonts w:ascii="Arial" w:cs="Arial" w:eastAsia="Arial" w:hAnsi="Arial"/>
                <w:color w:val="0F172A"/>
                <w:sz w:val="22"/>
                <w:szCs w:val="22"/>
              </w:rPr>
              <w:t xml:space="preserve"/>
            </w:r>
          </w:p>
          <w:p>
            <w:pPr>
              <w:spacing w:after="80" w:before="80" w:line="300"/>
            </w:pPr>
            <w:r>
              <w:rPr>
                <w:rFonts w:ascii="Arial" w:cs="Arial" w:eastAsia="Arial" w:hAnsi="Arial"/>
                <w:b/>
                <w:bCs/>
                <w:color w:val="0F172A"/>
                <w:sz w:val="22"/>
                <w:szCs w:val="22"/>
              </w:rPr>
              <w:t xml:space="preserve">Lock 3 — Two independent learning signals run in parallel with non-overlapping parameter ownership. </w:t>
            </w:r>
            <w:r>
              <w:rPr>
                <w:rFonts w:ascii="Arial" w:cs="Arial" w:eastAsia="Arial" w:hAnsi="Arial"/>
                <w:color w:val="0F172A"/>
                <w:sz w:val="22"/>
                <w:szCs w:val="22"/>
              </w:rPr>
              <w:t xml:space="preserve">Yield learning (§6.2 of v5) owns per-ingredient consumption rates. PO feedback (Rounds 3–4) owns per-supplier lead-time assumptions, tenant-wide safety-stock multiplier, and reorder-threshold timing offset. The two systems literally cannot edit the same field.</w:t>
            </w:r>
          </w:p>
          <w:p>
            <w:pPr>
              <w:spacing w:after="80" w:before="80" w:line="300"/>
            </w:pPr>
            <w:r>
              <w:rPr>
                <w:rFonts w:ascii="Arial" w:cs="Arial" w:eastAsia="Arial" w:hAnsi="Arial"/>
                <w:color w:val="0F172A"/>
                <w:sz w:val="22"/>
                <w:szCs w:val="22"/>
              </w:rPr>
              <w:t xml:space="preserve"/>
            </w:r>
          </w:p>
          <w:p>
            <w:pPr>
              <w:spacing w:after="80" w:before="80" w:line="300"/>
            </w:pPr>
            <w:r>
              <w:rPr>
                <w:rFonts w:ascii="Arial" w:cs="Arial" w:eastAsia="Arial" w:hAnsi="Arial"/>
                <w:b/>
                <w:bCs/>
                <w:color w:val="0F172A"/>
                <w:sz w:val="22"/>
                <w:szCs w:val="22"/>
              </w:rPr>
              <w:t xml:space="preserve">Lock 4 — The forecast method is decomposition-based with a full signal stack. </w:t>
            </w:r>
            <w:r>
              <w:rPr>
                <w:rFonts w:ascii="Arial" w:cs="Arial" w:eastAsia="Arial" w:hAnsi="Arial"/>
                <w:color w:val="0F172A"/>
                <w:sz w:val="22"/>
                <w:szCs w:val="22"/>
              </w:rPr>
              <w:t xml:space="preserve">Trend + weekly seasonality + holidays (canada-holidays.ca + Calendarific) + weather (Open-Meteo) + events (Ticketmaster). Hourly granularity during business hours, auto-degraded to daily for low-volume ingredients (&lt;1 unit/business-day, 14d trailing). 14-day forecast horizon, uniform across ingredients.</w:t>
            </w:r>
          </w:p>
          <w:p>
            <w:pPr>
              <w:spacing w:after="80" w:before="80" w:line="300"/>
            </w:pPr>
            <w:r>
              <w:rPr>
                <w:rFonts w:ascii="Arial" w:cs="Arial" w:eastAsia="Arial" w:hAnsi="Arial"/>
                <w:color w:val="0F172A"/>
                <w:sz w:val="22"/>
                <w:szCs w:val="22"/>
              </w:rPr>
              <w:t xml:space="preserve"/>
            </w:r>
          </w:p>
          <w:p>
            <w:pPr>
              <w:spacing w:after="80" w:before="80" w:line="300"/>
            </w:pPr>
            <w:r>
              <w:rPr>
                <w:rFonts w:ascii="Arial" w:cs="Arial" w:eastAsia="Arial" w:hAnsi="Arial"/>
                <w:b/>
                <w:bCs/>
                <w:color w:val="0F172A"/>
                <w:sz w:val="22"/>
                <w:szCs w:val="22"/>
              </w:rPr>
              <w:t xml:space="preserve">Lock 5 — Cold-start uses pre-onboarding POS history with transparent calibration labeling. </w:t>
            </w:r>
            <w:r>
              <w:rPr>
                <w:rFonts w:ascii="Arial" w:cs="Arial" w:eastAsia="Arial" w:hAnsi="Arial"/>
                <w:color w:val="0F172A"/>
                <w:sz w:val="22"/>
                <w:szCs w:val="22"/>
              </w:rPr>
              <w:t xml:space="preserve">On Day 0, the system pulls 12 months of POS sales history, back-calculates synthetic depletion using declared yields, backfills weather and event history, and runs Method C immediately. Trial-period forecasts are explicitly labeled "calibrating" with honest confidence intervals. Day 14 transition: measured yields land, label drops, intervals tighten.</w:t>
            </w:r>
          </w:p>
          <w:p>
            <w:pPr>
              <w:spacing w:after="80" w:before="80" w:line="300"/>
            </w:pPr>
            <w:r>
              <w:rPr>
                <w:rFonts w:ascii="Arial" w:cs="Arial" w:eastAsia="Arial" w:hAnsi="Arial"/>
                <w:color w:val="0F172A"/>
                <w:sz w:val="22"/>
                <w:szCs w:val="22"/>
              </w:rPr>
              <w:t xml:space="preserve"/>
            </w:r>
          </w:p>
          <w:p>
            <w:pPr>
              <w:spacing w:after="80" w:before="80" w:line="300"/>
            </w:pPr>
            <w:r>
              <w:rPr>
                <w:rFonts w:ascii="Arial" w:cs="Arial" w:eastAsia="Arial" w:hAnsi="Arial"/>
                <w:b/>
                <w:bCs/>
                <w:color w:val="0F172A"/>
                <w:sz w:val="22"/>
                <w:szCs w:val="22"/>
              </w:rPr>
              <w:t xml:space="preserve">Lock 6 — Receipts are first-class business objects, inventory_movements is the unified ledger. </w:t>
            </w:r>
            <w:r>
              <w:rPr>
                <w:rFonts w:ascii="Arial" w:cs="Arial" w:eastAsia="Arial" w:hAnsi="Arial"/>
                <w:color w:val="0F172A"/>
                <w:sz w:val="22"/>
                <w:szCs w:val="22"/>
              </w:rPr>
              <w:t xml:space="preserve">Every inventory mutation in the system writes to inventory_movements with a typed movement_type (sale_depletion, receipt, manual_adjust, waste, transfer). Receipts are also materialized as their own table for human-meaningful queries. One atomic transaction writes all three layers on commit. This makes the Variance Report, supplier reliability tracking (Phase 2), and price reconciliation (Moat Layer 4) all queryable from a single audit trail.</w:t>
            </w:r>
          </w:p>
          <w:p>
            <w:pPr>
              <w:spacing w:after="80" w:before="80" w:line="300"/>
            </w:pPr>
            <w:r>
              <w:rPr>
                <w:rFonts w:ascii="Arial" w:cs="Arial" w:eastAsia="Arial" w:hAnsi="Arial"/>
                <w:color w:val="0F172A"/>
                <w:sz w:val="22"/>
                <w:szCs w:val="22"/>
              </w:rPr>
              <w:t xml:space="preserve"/>
            </w:r>
          </w:p>
          <w:p>
            <w:pPr>
              <w:spacing w:after="80" w:before="80" w:line="300"/>
            </w:pPr>
            <w:r>
              <w:rPr>
                <w:rFonts w:ascii="Arial" w:cs="Arial" w:eastAsia="Arial" w:hAnsi="Arial"/>
                <w:b/>
                <w:bCs/>
                <w:color w:val="0F172A"/>
                <w:sz w:val="22"/>
                <w:szCs w:val="22"/>
              </w:rPr>
              <w:t xml:space="preserve">Lock 7 — The PO state machine has 8 states with strict transition rules. </w:t>
            </w:r>
            <w:r>
              <w:rPr>
                <w:rFonts w:ascii="Arial" w:cs="Arial" w:eastAsia="Arial" w:hAnsi="Arial"/>
                <w:color w:val="0F172A"/>
                <w:sz w:val="22"/>
                <w:szCs w:val="22"/>
              </w:rPr>
              <w:t xml:space="preserve">draft → approved → dispatched → awaiting_receipt → received OR partially_received OR failed_delivery. Dispatched POs are locked from in-app edits (out-of-band changes only). "Didn't arrive" transitions to failed_delivery (terminal) and the agent re-drafts on the next nightly run. received and partially_received cannot be canceled — only edited via Lock 6.24.</w:t>
            </w:r>
          </w:p>
          <w:p>
            <w:pPr>
              <w:spacing w:after="80" w:before="80" w:line="300"/>
            </w:pPr>
            <w:r>
              <w:rPr>
                <w:rFonts w:ascii="Arial" w:cs="Arial" w:eastAsia="Arial" w:hAnsi="Arial"/>
                <w:color w:val="0F172A"/>
                <w:sz w:val="22"/>
                <w:szCs w:val="22"/>
              </w:rPr>
              <w:t xml:space="preserve"/>
            </w:r>
          </w:p>
          <w:p>
            <w:pPr>
              <w:spacing w:after="80" w:before="80" w:line="300"/>
            </w:pPr>
            <w:r>
              <w:rPr>
                <w:rFonts w:ascii="Arial" w:cs="Arial" w:eastAsia="Arial" w:hAnsi="Arial"/>
                <w:b/>
                <w:bCs/>
                <w:color w:val="0F172A"/>
                <w:sz w:val="22"/>
                <w:szCs w:val="22"/>
              </w:rPr>
              <w:t xml:space="preserve">Lock 8 — The agent is a nightly batch + bounded set of synchronous handlers. </w:t>
            </w:r>
            <w:r>
              <w:rPr>
                <w:rFonts w:ascii="Arial" w:cs="Arial" w:eastAsia="Arial" w:hAnsi="Arial"/>
                <w:color w:val="0F172A"/>
                <w:sz w:val="22"/>
                <w:szCs w:val="22"/>
              </w:rPr>
              <w:t xml:space="preserve">Forecast pipeline, PO drafting, parameter recalibration, full timeline regeneration: nightly batch only (2am tenant-local). Inventory mutations from POS webhooks, receipt commits, manual adjustments, PO state changes: synchronous deterministic state mutations. Push notifications scheduled at exact future times via OS notification API; surface state computed at app-open time. No always-running scheduler, no per-hour cron.</w:t>
            </w:r>
          </w:p>
        </w:tc>
      </w:tr>
    </w:tbl>
    <w:p>
      <w:pPr>
        <w:pStyle w:val="Heading1"/>
        <w:spacing w:after="160" w:before="360"/>
      </w:pPr>
      <w:r>
        <w:rPr>
          <w:rFonts w:ascii="Arial" w:cs="Arial" w:eastAsia="Arial" w:hAnsi="Arial"/>
          <w:b/>
          <w:bCs/>
          <w:color w:val="0F172A"/>
          <w:sz w:val="36"/>
          <w:szCs w:val="36"/>
        </w:rPr>
        <w:t xml:space="preserve">2. How this document relates to v5</w:t>
      </w:r>
    </w:p>
    <w:p>
      <w:pPr>
        <w:spacing w:after="80" w:before="80" w:line="300"/>
      </w:pPr>
      <w:r>
        <w:rPr>
          <w:rFonts w:ascii="Arial" w:cs="Arial" w:eastAsia="Arial" w:hAnsi="Arial"/>
          <w:color w:val="0F172A"/>
          <w:sz w:val="22"/>
          <w:szCs w:val="22"/>
        </w:rPr>
        <w:t xml:space="preserve">The v5 onboarding decision log closed at §34 with an explicit handoff to the architecture workstream. v5 §34.1 listed ten architecture workstreams. v5 §34.2 nominated the depletion loop as the suggested first workstream because every other surface (Dashboard, Orders page, Receiving, Variance Report, Inventory page) is downstream of it.</w:t>
      </w:r>
    </w:p>
    <w:p>
      <w:pPr>
        <w:spacing w:after="80" w:before="80" w:line="300"/>
      </w:pPr>
      <w:r>
        <w:rPr>
          <w:rFonts w:ascii="Arial" w:cs="Arial" w:eastAsia="Arial" w:hAnsi="Arial"/>
          <w:color w:val="0F172A"/>
          <w:sz w:val="22"/>
          <w:szCs w:val="22"/>
        </w:rPr>
        <w:t xml:space="preserve">This document picks up exactly there. Rounds 1–5 of architecture work close steps 6 and 7 of v5's depletion-loop table (forecast projects depletion → agent drafts batched POs). Round 6 will close steps 10 and 11 (owner records receipt → inventory incremented based on physical receipt).</w:t>
      </w:r>
    </w:p>
    <w:p>
      <w:pPr>
        <w:spacing w:after="80" w:before="80" w:line="300"/>
      </w:pPr>
      <w:r>
        <w:rPr>
          <w:rFonts w:ascii="Arial" w:cs="Arial" w:eastAsia="Arial" w:hAnsi="Arial"/>
          <w:color w:val="0F172A"/>
          <w:sz w:val="22"/>
          <w:szCs w:val="22"/>
        </w:rPr>
        <w:t xml:space="preserve">Anything locked in v5 is treated as ground truth and not relitigated here. If a decision in this document conflicts with v5, this document is wrong — flag it.</w:t>
      </w:r>
    </w:p>
    <w:p>
      <w:pPr>
        <w:pStyle w:val="Heading2"/>
        <w:spacing w:after="120" w:before="280"/>
      </w:pPr>
      <w:r>
        <w:rPr>
          <w:rFonts w:ascii="Arial" w:cs="Arial" w:eastAsia="Arial" w:hAnsi="Arial"/>
          <w:b/>
          <w:bCs/>
          <w:color w:val="0F172A"/>
          <w:sz w:val="28"/>
          <w:szCs w:val="28"/>
        </w:rPr>
        <w:t xml:space="preserve">2.1 v5 sections this workstream loads from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900"/>
        <w:gridCol w:w="3360"/>
      </w:tblGrid>
      <w:tr>
        <w:trPr>
          <w:tblHeader/>
        </w:trPr>
        <w:tc>
          <w:tcPr>
            <w:tcW w:type="dxa" w:w="11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v5 §</w:t>
            </w:r>
          </w:p>
        </w:tc>
        <w:tc>
          <w:tcPr>
            <w:tcW w:type="dxa" w:w="49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What it provides</w:t>
            </w:r>
          </w:p>
        </w:tc>
        <w:tc>
          <w:tcPr>
            <w:tcW w:type="dxa" w:w="336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Used in</w:t>
            </w:r>
          </w:p>
        </w:tc>
      </w:tr>
      <w:tr>
        <w:tc>
          <w:tcPr>
            <w:tcW w:type="dxa" w:w="11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§4.2</w:t>
            </w:r>
          </w:p>
        </w:tc>
        <w:tc>
          <w:tcPr>
            <w:tcW w:type="dxa" w:w="49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Webhook + reconciliation hybrid; nightly 2am tenant-local run</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Round 5 trigger timing</w:t>
            </w:r>
          </w:p>
        </w:tc>
      </w:tr>
      <w:tr>
        <w:tc>
          <w:tcPr>
            <w:tcW w:type="dxa" w:w="11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§6.1</w:t>
            </w:r>
          </w:p>
        </w:tc>
        <w:tc>
          <w:tcPr>
            <w:tcW w:type="dxa" w:w="49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Recipe seeding with placeholder yields, three confidence tiers</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Round 5 cold-start (declared yields)</w:t>
            </w:r>
          </w:p>
        </w:tc>
      </w:tr>
      <w:tr>
        <w:tc>
          <w:tcPr>
            <w:tcW w:type="dxa" w:w="11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§6.2</w:t>
            </w:r>
          </w:p>
        </w:tc>
        <w:tc>
          <w:tcPr>
            <w:tcW w:type="dxa" w:w="49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Yields are LEARNED — measured replaces declared at day 14</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Lock 3 (yield learning signal)</w:t>
            </w:r>
          </w:p>
        </w:tc>
      </w:tr>
      <w:tr>
        <w:tc>
          <w:tcPr>
            <w:tcW w:type="dxa" w:w="11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§7</w:t>
            </w:r>
          </w:p>
        </w:tc>
        <w:tc>
          <w:tcPr>
            <w:tcW w:type="dxa" w:w="49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Suppliers build organically, not pre-populated</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Round 6 design constraint</w:t>
            </w:r>
          </w:p>
        </w:tc>
      </w:tr>
      <w:tr>
        <w:tc>
          <w:tcPr>
            <w:tcW w:type="dxa" w:w="11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§9</w:t>
            </w:r>
          </w:p>
        </w:tc>
        <w:tc>
          <w:tcPr>
            <w:tcW w:type="dxa" w:w="49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Trial clock starts on first agent run; 14-day graduated expiry</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Round 5 cold-start UX</w:t>
            </w:r>
          </w:p>
        </w:tc>
      </w:tr>
      <w:tr>
        <w:tc>
          <w:tcPr>
            <w:tcW w:type="dxa" w:w="11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§21</w:t>
            </w:r>
          </w:p>
        </w:tc>
        <w:tc>
          <w:tcPr>
            <w:tcW w:type="dxa" w:w="49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Multi-channel dispatch (email/phone/SMS/WhatsApp)</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Step 9 of depletion loop</w:t>
            </w:r>
          </w:p>
        </w:tc>
      </w:tr>
      <w:tr>
        <w:tc>
          <w:tcPr>
            <w:tcW w:type="dxa" w:w="11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§22</w:t>
            </w:r>
          </w:p>
        </w:tc>
        <w:tc>
          <w:tcPr>
            <w:tcW w:type="dxa" w:w="49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Moat Layer 4: price intelligence</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Lock 5.5 — forecast quality is upstream of buyer power</w:t>
            </w:r>
          </w:p>
        </w:tc>
      </w:tr>
      <w:tr>
        <w:tc>
          <w:tcPr>
            <w:tcW w:type="dxa" w:w="11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§30.1</w:t>
            </w:r>
          </w:p>
        </w:tc>
        <w:tc>
          <w:tcPr>
            <w:tcW w:type="dxa" w:w="49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Business hours from "About your restaurant"</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Lock 5.6 — hourly granularity boundary</w:t>
            </w:r>
          </w:p>
        </w:tc>
      </w:tr>
      <w:tr>
        <w:tc>
          <w:tcPr>
            <w:tcW w:type="dxa" w:w="11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§30.1</w:t>
            </w:r>
          </w:p>
        </w:tc>
        <w:tc>
          <w:tcPr>
            <w:tcW w:type="dxa" w:w="49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Geocoded address from Google Places</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Weather API location, supplier delivery-day inference</w:t>
            </w:r>
          </w:p>
        </w:tc>
      </w:tr>
      <w:tr>
        <w:tc>
          <w:tcPr>
            <w:tcW w:type="dxa" w:w="11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§31</w:t>
            </w:r>
          </w:p>
        </w:tc>
        <w:tc>
          <w:tcPr>
            <w:tcW w:type="dxa" w:w="49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PIN approval, $500 default threshold</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Step 8 of depletion loop</w:t>
            </w:r>
          </w:p>
        </w:tc>
      </w:tr>
      <w:tr>
        <w:tc>
          <w:tcPr>
            <w:tcW w:type="dxa" w:w="11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§33.1</w:t>
            </w:r>
          </w:p>
        </w:tc>
        <w:tc>
          <w:tcPr>
            <w:tcW w:type="dxa" w:w="49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Supplier-grouped view of ingredients is primary surface</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Round 1 PO artifact shape</w:t>
            </w:r>
          </w:p>
        </w:tc>
      </w:tr>
      <w:tr>
        <w:tc>
          <w:tcPr>
            <w:tcW w:type="dxa" w:w="11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§33.2</w:t>
            </w:r>
          </w:p>
        </w:tc>
        <w:tc>
          <w:tcPr>
            <w:tcW w:type="dxa" w:w="49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PO drafting respects supplier batching, MOQs, delivery days</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Round 1 PO drafting requirement</w:t>
            </w:r>
          </w:p>
        </w:tc>
      </w:tr>
      <w:tr>
        <w:tc>
          <w:tcPr>
            <w:tcW w:type="dxa" w:w="11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§33.3</w:t>
            </w:r>
          </w:p>
        </w:tc>
        <w:tc>
          <w:tcPr>
            <w:tcW w:type="dxa" w:w="49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Receiving must handle full/partial/substitution/shortage/overage</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Round 6 scope</w:t>
            </w:r>
          </w:p>
        </w:tc>
      </w:tr>
      <w:tr>
        <w:tc>
          <w:tcPr>
            <w:tcW w:type="dxa" w:w="11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§33.4</w:t>
            </w:r>
          </w:p>
        </w:tc>
        <w:tc>
          <w:tcPr>
            <w:tcW w:type="dxa" w:w="49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Depletion loop summary table — steps 1–11</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Status board structure</w:t>
            </w:r>
          </w:p>
        </w:tc>
      </w:tr>
    </w:tbl>
    <w:p>
      <w:r>
        <w:br w:type="page"/>
      </w:r>
    </w:p>
    <w:p>
      <w:pPr>
        <w:pStyle w:val="Heading1"/>
        <w:spacing w:after="160" w:before="360"/>
      </w:pPr>
      <w:r>
        <w:rPr>
          <w:rFonts w:ascii="Arial" w:cs="Arial" w:eastAsia="Arial" w:hAnsi="Arial"/>
          <w:b/>
          <w:bCs/>
          <w:color w:val="0F172A"/>
          <w:sz w:val="36"/>
          <w:szCs w:val="36"/>
        </w:rPr>
        <w:t xml:space="preserve">3. Round 1: Forecast engine outputs</w:t>
      </w:r>
    </w:p>
    <w:p>
      <w:pPr>
        <w:pStyle w:val="Heading2"/>
        <w:spacing w:after="120" w:before="280"/>
      </w:pPr>
      <w:r>
        <w:rPr>
          <w:rFonts w:ascii="Arial" w:cs="Arial" w:eastAsia="Arial" w:hAnsi="Arial"/>
          <w:b/>
          <w:bCs/>
          <w:color w:val="0F172A"/>
          <w:sz w:val="28"/>
          <w:szCs w:val="28"/>
        </w:rPr>
        <w:t xml:space="preserve">3.1 The question</w:t>
      </w:r>
    </w:p>
    <w:p>
      <w:pPr>
        <w:spacing w:after="80" w:before="80" w:line="300"/>
      </w:pPr>
      <w:r>
        <w:rPr>
          <w:rFonts w:ascii="Arial" w:cs="Arial" w:eastAsia="Arial" w:hAnsi="Arial"/>
          <w:color w:val="0F172A"/>
          <w:sz w:val="22"/>
          <w:szCs w:val="22"/>
        </w:rPr>
        <w:t xml:space="preserve">By the time the forecast engine finishes its 2am run, something exists in the database that the agent then reads to decide whether to draft POs. Round 1 locked what that something is.</w:t>
      </w:r>
    </w:p>
    <w:p>
      <w:pPr>
        <w:pStyle w:val="Heading2"/>
        <w:spacing w:after="120" w:before="280"/>
      </w:pPr>
      <w:r>
        <w:rPr>
          <w:rFonts w:ascii="Arial" w:cs="Arial" w:eastAsia="Arial" w:hAnsi="Arial"/>
          <w:b/>
          <w:bCs/>
          <w:color w:val="0F172A"/>
          <w:sz w:val="28"/>
          <w:szCs w:val="28"/>
        </w:rPr>
        <w:t xml:space="preserve">3.2 The decision</w:t>
      </w:r>
    </w:p>
    <w:p>
      <w:pPr>
        <w:spacing w:after="80" w:before="80" w:line="300"/>
      </w:pPr>
      <w:r>
        <w:rPr>
          <w:rFonts w:ascii="Arial" w:cs="Arial" w:eastAsia="Arial" w:hAnsi="Arial"/>
          <w:color w:val="0F172A"/>
          <w:sz w:val="22"/>
          <w:szCs w:val="22"/>
        </w:rPr>
        <w:t xml:space="preserve">The engine produces two artifacts per nightly run, both materially related, neither downstream of the other:</w:t>
      </w:r>
    </w:p>
    <w:p>
      <w:pPr>
        <w:pStyle w:val="ListParagraph"/>
        <w:numPr>
          <w:ilvl w:val="0"/>
          <w:numId w:val="2"/>
        </w:numPr>
        <w:spacing w:after="60" w:before="60" w:line="300"/>
      </w:pPr>
      <w:r>
        <w:rPr>
          <w:rFonts w:ascii="Arial" w:cs="Arial" w:eastAsia="Arial" w:hAnsi="Arial"/>
          <w:b/>
          <w:bCs/>
          <w:color w:val="0F172A"/>
          <w:sz w:val="22"/>
          <w:szCs w:val="22"/>
        </w:rPr>
        <w:t xml:space="preserve">A per-ingredient depletion timeline. </w:t>
      </w:r>
      <w:r>
        <w:rPr>
          <w:rFonts w:ascii="Arial" w:cs="Arial" w:eastAsia="Arial" w:hAnsi="Arial"/>
          <w:color w:val="0F172A"/>
          <w:sz w:val="22"/>
          <w:szCs w:val="22"/>
        </w:rPr>
        <w:t xml:space="preserve">For every ingredient in inventory_items, the engine writes a projected stock-level-over-time series. This is canonical for the question "when will I run out of X."</w:t>
      </w:r>
    </w:p>
    <w:p>
      <w:pPr>
        <w:pStyle w:val="ListParagraph"/>
        <w:numPr>
          <w:ilvl w:val="0"/>
          <w:numId w:val="2"/>
        </w:numPr>
        <w:spacing w:after="60" w:before="60" w:line="300"/>
      </w:pPr>
      <w:r>
        <w:rPr>
          <w:rFonts w:ascii="Arial" w:cs="Arial" w:eastAsia="Arial" w:hAnsi="Arial"/>
          <w:b/>
          <w:bCs/>
          <w:color w:val="0F172A"/>
          <w:sz w:val="22"/>
          <w:szCs w:val="22"/>
        </w:rPr>
        <w:t xml:space="preserve">A per-supplier draft PO. </w:t>
      </w:r>
      <w:r>
        <w:rPr>
          <w:rFonts w:ascii="Arial" w:cs="Arial" w:eastAsia="Arial" w:hAnsi="Arial"/>
          <w:color w:val="0F172A"/>
          <w:sz w:val="22"/>
          <w:szCs w:val="22"/>
        </w:rPr>
        <w:t xml:space="preserve">Built by rolling timeline entries up to the supplier level, respecting MOQ and delivery cadence (v5 §33.2). This is canonical for the question "what is being ordered, when does it arrive, and why."</w:t>
      </w:r>
    </w:p>
    <w:p>
      <w:pPr>
        <w:pStyle w:val="Heading2"/>
        <w:spacing w:after="120" w:before="280"/>
      </w:pPr>
      <w:r>
        <w:rPr>
          <w:rFonts w:ascii="Arial" w:cs="Arial" w:eastAsia="Arial" w:hAnsi="Arial"/>
          <w:b/>
          <w:bCs/>
          <w:color w:val="0F172A"/>
          <w:sz w:val="28"/>
          <w:szCs w:val="28"/>
        </w:rPr>
        <w:t xml:space="preserve">3.3 What canonicality means in practice</w:t>
      </w:r>
    </w:p>
    <w:p>
      <w:pPr>
        <w:spacing w:after="80" w:before="80" w:line="300"/>
      </w:pPr>
      <w:r>
        <w:rPr>
          <w:rFonts w:ascii="Arial" w:cs="Arial" w:eastAsia="Arial" w:hAnsi="Arial"/>
          <w:color w:val="0F172A"/>
          <w:sz w:val="22"/>
          <w:szCs w:val="22"/>
        </w:rPr>
        <w:t xml:space="preserve">The two artifacts will sometimes appear to disagree. The canonical example: tomatoes hit reorder threshold Wednesday afternoon, but the rest of Sysco's basket doesn't justify a Wednesday delivery, so the PO is timed for Friday. Two true statements:</w:t>
      </w:r>
    </w:p>
    <w:p>
      <w:pPr>
        <w:pStyle w:val="ListParagraph"/>
        <w:numPr>
          <w:ilvl w:val="0"/>
          <w:numId w:val="2"/>
        </w:numPr>
        <w:spacing w:after="60" w:before="60" w:line="300"/>
      </w:pPr>
      <w:r>
        <w:rPr>
          <w:rFonts w:ascii="Arial" w:cs="Arial" w:eastAsia="Arial" w:hAnsi="Arial"/>
          <w:b/>
          <w:bCs/>
          <w:color w:val="0F172A"/>
          <w:sz w:val="22"/>
          <w:szCs w:val="22"/>
        </w:rPr>
        <w:t xml:space="preserve">Timeline says: </w:t>
      </w:r>
      <w:r>
        <w:rPr>
          <w:rFonts w:ascii="Arial" w:cs="Arial" w:eastAsia="Arial" w:hAnsi="Arial"/>
          <w:color w:val="0F172A"/>
          <w:sz w:val="22"/>
          <w:szCs w:val="22"/>
        </w:rPr>
        <w:t xml:space="preserve">tomatoes run out Wednesday ~2pm.</w:t>
      </w:r>
    </w:p>
    <w:p>
      <w:pPr>
        <w:pStyle w:val="ListParagraph"/>
        <w:numPr>
          <w:ilvl w:val="0"/>
          <w:numId w:val="2"/>
        </w:numPr>
        <w:spacing w:after="60" w:before="60" w:line="300"/>
      </w:pPr>
      <w:r>
        <w:rPr>
          <w:rFonts w:ascii="Arial" w:cs="Arial" w:eastAsia="Arial" w:hAnsi="Arial"/>
          <w:b/>
          <w:bCs/>
          <w:color w:val="0F172A"/>
          <w:sz w:val="22"/>
          <w:szCs w:val="22"/>
        </w:rPr>
        <w:t xml:space="preserve">PO says: </w:t>
      </w:r>
      <w:r>
        <w:rPr>
          <w:rFonts w:ascii="Arial" w:cs="Arial" w:eastAsia="Arial" w:hAnsi="Arial"/>
          <w:color w:val="0F172A"/>
          <w:sz w:val="22"/>
          <w:szCs w:val="22"/>
        </w:rPr>
        <w:t xml:space="preserve">Sysco delivery arriving Friday morning.</w:t>
      </w:r>
    </w:p>
    <w:p>
      <w:pPr>
        <w:spacing w:after="80" w:before="80" w:line="300"/>
      </w:pPr>
      <w:r>
        <w:rPr>
          <w:rFonts w:ascii="Arial" w:cs="Arial" w:eastAsia="Arial" w:hAnsi="Arial"/>
          <w:color w:val="0F172A"/>
          <w:sz w:val="22"/>
          <w:szCs w:val="22"/>
        </w:rPr>
        <w:t xml:space="preserve">Both are correct. They answer different questions. The dashboard shows both side-by-side: "running low Wednesday, restocked Friday." The owner is never forced to reconcile them.</w:t>
      </w:r>
    </w:p>
    <w:p>
      <w:pPr>
        <w:pStyle w:val="Heading2"/>
        <w:spacing w:after="120" w:before="280"/>
      </w:pPr>
      <w:r>
        <w:rPr>
          <w:rFonts w:ascii="Arial" w:cs="Arial" w:eastAsia="Arial" w:hAnsi="Arial"/>
          <w:b/>
          <w:bCs/>
          <w:color w:val="0F172A"/>
          <w:sz w:val="28"/>
          <w:szCs w:val="28"/>
        </w:rPr>
        <w:t xml:space="preserve">3.4 Round 1 lock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6300"/>
        <w:gridCol w:w="2280"/>
      </w:tblGrid>
      <w:tr>
        <w:trPr>
          <w:tblHeader/>
        </w:trPr>
        <w:tc>
          <w:tcPr>
            <w:tcW w:type="dxa" w:w="78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w:t>
            </w:r>
          </w:p>
        </w:tc>
        <w:tc>
          <w:tcPr>
            <w:tcW w:type="dxa" w:w="63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Decision</w:t>
            </w:r>
          </w:p>
        </w:tc>
        <w:tc>
          <w:tcPr>
            <w:tcW w:type="dxa" w:w="228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Status</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Forecast engine produces two artifacts nightly: per-ingredient depletion timeline + per-supplier draft POs.</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1.2</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Per-ingredient timeline is canonical for "when will I run out" questions.</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1.3</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Per-supplier PO is canonical for "what's being ordered and when it arrives."</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1.4</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PO includes a human-readable reasoning trace as a UI/transparency feature.</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1.5</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When timeline and PO appear to disagree, both are shown side-by-side. They answer different questions.</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bl>
    <w:p>
      <w:r>
        <w:br w:type="page"/>
      </w:r>
    </w:p>
    <w:p>
      <w:pPr>
        <w:pStyle w:val="Heading1"/>
        <w:spacing w:after="160" w:before="360"/>
      </w:pPr>
      <w:r>
        <w:rPr>
          <w:rFonts w:ascii="Arial" w:cs="Arial" w:eastAsia="Arial" w:hAnsi="Arial"/>
          <w:b/>
          <w:bCs/>
          <w:color w:val="0F172A"/>
          <w:sz w:val="36"/>
          <w:szCs w:val="36"/>
        </w:rPr>
        <w:t xml:space="preserve">4. Round 2: Determinism and the reasoning trace</w:t>
      </w:r>
    </w:p>
    <w:p>
      <w:pPr>
        <w:pStyle w:val="Heading2"/>
        <w:spacing w:after="120" w:before="280"/>
      </w:pPr>
      <w:r>
        <w:rPr>
          <w:rFonts w:ascii="Arial" w:cs="Arial" w:eastAsia="Arial" w:hAnsi="Arial"/>
          <w:b/>
          <w:bCs/>
          <w:color w:val="0F172A"/>
          <w:sz w:val="28"/>
          <w:szCs w:val="28"/>
        </w:rPr>
        <w:t xml:space="preserve">4.1 The question</w:t>
      </w:r>
    </w:p>
    <w:p>
      <w:pPr>
        <w:spacing w:after="80" w:before="80" w:line="300"/>
      </w:pPr>
      <w:r>
        <w:rPr>
          <w:rFonts w:ascii="Arial" w:cs="Arial" w:eastAsia="Arial" w:hAnsi="Arial"/>
          <w:color w:val="0F172A"/>
          <w:sz w:val="22"/>
          <w:szCs w:val="22"/>
        </w:rPr>
        <w:t xml:space="preserve">Round 1 locked that the PO carries a human-readable reasoning trace. Round 2 locked how that trace is generated and, more importantly, established that determinism extends through the entire forecast pipeline.</w:t>
      </w:r>
    </w:p>
    <w:p>
      <w:pPr>
        <w:pStyle w:val="Heading2"/>
        <w:spacing w:after="120" w:before="280"/>
      </w:pPr>
      <w:r>
        <w:rPr>
          <w:rFonts w:ascii="Arial" w:cs="Arial" w:eastAsia="Arial" w:hAnsi="Arial"/>
          <w:b/>
          <w:bCs/>
          <w:color w:val="0F172A"/>
          <w:sz w:val="28"/>
          <w:szCs w:val="28"/>
        </w:rPr>
        <w:t xml:space="preserve">4.2 The decision</w:t>
      </w:r>
    </w:p>
    <w:p>
      <w:pPr>
        <w:spacing w:after="80" w:before="80" w:line="300"/>
      </w:pPr>
      <w:r>
        <w:rPr>
          <w:rFonts w:ascii="Arial" w:cs="Arial" w:eastAsia="Arial" w:hAnsi="Arial"/>
          <w:color w:val="0F172A"/>
          <w:sz w:val="22"/>
          <w:szCs w:val="22"/>
        </w:rPr>
        <w:t xml:space="preserve">Path A (deterministic templating). The forecast engine emits structured reasoning fields when it drafts a PO — trigger ingredients, trigger dates, defer reason, tight-window flags. The UI then renders these through fixed templates into prose. No LLM is called at PO draft time. No LLM is called at forecast time.</w:t>
      </w:r>
    </w:p>
    <w:p>
      <w:pPr>
        <w:spacing w:after="80" w:before="80" w:line="300"/>
      </w:pPr>
      <w:r>
        <w:rPr>
          <w:rFonts w:ascii="Arial" w:cs="Arial" w:eastAsia="Arial" w:hAnsi="Arial"/>
          <w:color w:val="0F172A"/>
          <w:sz w:val="22"/>
          <w:szCs w:val="22"/>
        </w:rPr>
        <w:t xml:space="preserve">Example output (templated):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4A3B8" w:sz="12"/>
              <w:left w:val="single" w:color="94A3B8" w:sz="12"/>
              <w:bottom w:val="single" w:color="94A3B8" w:sz="4"/>
              <w:right w:val="single" w:color="94A3B8" w:sz="4"/>
            </w:tcBorders>
            <w:shd w:fill="F8FAFC" w:val="clear"/>
            <w:tcMar>
              <w:top w:type="dxa" w:w="200"/>
              <w:left w:type="dxa" w:w="280"/>
              <w:bottom w:type="dxa" w:w="200"/>
              <w:right w:type="dxa" w:w="280"/>
            </w:tcMar>
          </w:tcPr>
          <w:p>
            <w:pPr>
              <w:spacing w:after="80" w:before="0" w:line="300"/>
            </w:pPr>
            <w:r>
              <w:rPr>
                <w:rFonts w:ascii="Arial" w:cs="Arial" w:eastAsia="Arial" w:hAnsi="Arial"/>
                <w:i/>
                <w:iCs/>
                <w:color w:val="0F172A"/>
                <w:sz w:val="22"/>
                <w:szCs w:val="22"/>
              </w:rPr>
              <w:t xml:space="preserve">Drafting Sysco order for Friday delivery. Roma tomatoes hit threshold Wednesday 2pm at this week's sales pace. Chicken thighs hit threshold Thursday morning. Combined Wednesday order would be $340 — below the $500 minimum, so deferred to Friday delivery. Tomatoes will be tight Thursday afternoon through Friday morning — flagged on dashboard.</w:t>
            </w:r>
          </w:p>
        </w:tc>
      </w:tr>
    </w:tbl>
    <w:p>
      <w:pPr>
        <w:pStyle w:val="Heading2"/>
        <w:spacing w:after="120" w:before="280"/>
      </w:pPr>
      <w:r>
        <w:rPr>
          <w:rFonts w:ascii="Arial" w:cs="Arial" w:eastAsia="Arial" w:hAnsi="Arial"/>
          <w:b/>
          <w:bCs/>
          <w:color w:val="0F172A"/>
          <w:sz w:val="28"/>
          <w:szCs w:val="28"/>
        </w:rPr>
        <w:t xml:space="preserve">4.3 Why the determinism principle extends beyond the trace</w:t>
      </w:r>
    </w:p>
    <w:p>
      <w:pPr>
        <w:spacing w:after="80" w:before="80" w:line="300"/>
      </w:pPr>
      <w:r>
        <w:rPr>
          <w:rFonts w:ascii="Arial" w:cs="Arial" w:eastAsia="Arial" w:hAnsi="Arial"/>
          <w:color w:val="0F172A"/>
          <w:sz w:val="22"/>
          <w:szCs w:val="22"/>
        </w:rPr>
        <w:t xml:space="preserve">"Mathematical deterministic" applied broadly means the forecast engine itself — not just the reasoning trace — is deterministic. Same inputs produce the same outputs every run. This is a real architectural commitment with five concrete consequences:</w:t>
      </w:r>
    </w:p>
    <w:p>
      <w:pPr>
        <w:pStyle w:val="ListParagraph"/>
        <w:numPr>
          <w:ilvl w:val="0"/>
          <w:numId w:val="2"/>
        </w:numPr>
        <w:spacing w:after="60" w:before="60" w:line="300"/>
      </w:pPr>
      <w:r>
        <w:rPr>
          <w:rFonts w:ascii="Arial" w:cs="Arial" w:eastAsia="Arial" w:hAnsi="Arial"/>
          <w:b/>
          <w:bCs/>
          <w:color w:val="0F172A"/>
          <w:sz w:val="22"/>
          <w:szCs w:val="22"/>
        </w:rPr>
        <w:t xml:space="preserve">Variance Report becomes meaningful. </w:t>
      </w:r>
      <w:r>
        <w:rPr>
          <w:rFonts w:ascii="Arial" w:cs="Arial" w:eastAsia="Arial" w:hAnsi="Arial"/>
          <w:color w:val="0F172A"/>
          <w:sz w:val="22"/>
          <w:szCs w:val="22"/>
        </w:rPr>
        <w:t xml:space="preserve">When measured depletion diverges from forecast, you can debug it because the forecast is reproducible. With an LLM in the loop, "the forecast was wrong" is unfalsifiable.</w:t>
      </w:r>
    </w:p>
    <w:p>
      <w:pPr>
        <w:pStyle w:val="ListParagraph"/>
        <w:numPr>
          <w:ilvl w:val="0"/>
          <w:numId w:val="2"/>
        </w:numPr>
        <w:spacing w:after="60" w:before="60" w:line="300"/>
      </w:pPr>
      <w:r>
        <w:rPr>
          <w:rFonts w:ascii="Arial" w:cs="Arial" w:eastAsia="Arial" w:hAnsi="Arial"/>
          <w:b/>
          <w:bCs/>
          <w:color w:val="0F172A"/>
          <w:sz w:val="22"/>
          <w:szCs w:val="22"/>
        </w:rPr>
        <w:t xml:space="preserve">Trial economics work. </w:t>
      </w:r>
      <w:r>
        <w:rPr>
          <w:rFonts w:ascii="Arial" w:cs="Arial" w:eastAsia="Arial" w:hAnsi="Arial"/>
          <w:color w:val="0F172A"/>
          <w:sz w:val="22"/>
          <w:szCs w:val="22"/>
        </w:rPr>
        <w:t xml:space="preserve">Owners trust numbers they can interrogate. "The forecast said I'd run out Wednesday and I didn't" is recoverable if you can show the math.</w:t>
      </w:r>
    </w:p>
    <w:p>
      <w:pPr>
        <w:pStyle w:val="ListParagraph"/>
        <w:numPr>
          <w:ilvl w:val="0"/>
          <w:numId w:val="2"/>
        </w:numPr>
        <w:spacing w:after="60" w:before="60" w:line="300"/>
      </w:pPr>
      <w:r>
        <w:rPr>
          <w:rFonts w:ascii="Arial" w:cs="Arial" w:eastAsia="Arial" w:hAnsi="Arial"/>
          <w:b/>
          <w:bCs/>
          <w:color w:val="0F172A"/>
          <w:sz w:val="22"/>
          <w:szCs w:val="22"/>
        </w:rPr>
        <w:t xml:space="preserve">Yield learning closes cleanly. </w:t>
      </w:r>
      <w:r>
        <w:rPr>
          <w:rFonts w:ascii="Arial" w:cs="Arial" w:eastAsia="Arial" w:hAnsi="Arial"/>
          <w:color w:val="0F172A"/>
          <w:sz w:val="22"/>
          <w:szCs w:val="22"/>
        </w:rPr>
        <w:t xml:space="preserve">Measured yields back-calculated from shift-close counts feed into a deterministic forecast — the loop is mathematically stable.</w:t>
      </w:r>
    </w:p>
    <w:p>
      <w:pPr>
        <w:pStyle w:val="ListParagraph"/>
        <w:numPr>
          <w:ilvl w:val="0"/>
          <w:numId w:val="2"/>
        </w:numPr>
        <w:spacing w:after="60" w:before="60" w:line="300"/>
      </w:pPr>
      <w:r>
        <w:rPr>
          <w:rFonts w:ascii="Arial" w:cs="Arial" w:eastAsia="Arial" w:hAnsi="Arial"/>
          <w:b/>
          <w:bCs/>
          <w:color w:val="0F172A"/>
          <w:sz w:val="22"/>
          <w:szCs w:val="22"/>
        </w:rPr>
        <w:t xml:space="preserve">Per-tenant compute is bounded. </w:t>
      </w:r>
      <w:r>
        <w:rPr>
          <w:rFonts w:ascii="Arial" w:cs="Arial" w:eastAsia="Arial" w:hAnsi="Arial"/>
          <w:color w:val="0F172A"/>
          <w:sz w:val="22"/>
          <w:szCs w:val="22"/>
        </w:rPr>
        <w:t xml:space="preserve">No nightly LLM bill that scales with customer count.</w:t>
      </w:r>
    </w:p>
    <w:p>
      <w:pPr>
        <w:pStyle w:val="ListParagraph"/>
        <w:numPr>
          <w:ilvl w:val="0"/>
          <w:numId w:val="2"/>
        </w:numPr>
        <w:spacing w:after="60" w:before="60" w:line="300"/>
      </w:pPr>
      <w:r>
        <w:rPr>
          <w:rFonts w:ascii="Arial" w:cs="Arial" w:eastAsia="Arial" w:hAnsi="Arial"/>
          <w:b/>
          <w:bCs/>
          <w:color w:val="0F172A"/>
          <w:sz w:val="22"/>
          <w:szCs w:val="22"/>
        </w:rPr>
        <w:t xml:space="preserve">Compliance posture is defensible. </w:t>
      </w:r>
      <w:r>
        <w:rPr>
          <w:rFonts w:ascii="Arial" w:cs="Arial" w:eastAsia="Arial" w:hAnsi="Arial"/>
          <w:color w:val="0F172A"/>
          <w:sz w:val="22"/>
          <w:szCs w:val="22"/>
        </w:rPr>
        <w:t xml:space="preserve">PIPEDA + Law 25 (locked in v5 §12.1) is far easier to defend if anyone asks how decisions get made about a customer's business.</w:t>
      </w:r>
    </w:p>
    <w:p>
      <w:pPr>
        <w:pStyle w:val="Heading2"/>
        <w:spacing w:after="120" w:before="280"/>
      </w:pPr>
      <w:r>
        <w:rPr>
          <w:rFonts w:ascii="Arial" w:cs="Arial" w:eastAsia="Arial" w:hAnsi="Arial"/>
          <w:b/>
          <w:bCs/>
          <w:color w:val="0F172A"/>
          <w:sz w:val="28"/>
          <w:szCs w:val="28"/>
        </w:rPr>
        <w:t xml:space="preserve">4.4 Where LLMs are still permitted</w:t>
      </w:r>
    </w:p>
    <w:p>
      <w:pPr>
        <w:spacing w:after="80" w:before="80" w:line="300"/>
      </w:pPr>
      <w:r>
        <w:rPr>
          <w:rFonts w:ascii="Arial" w:cs="Arial" w:eastAsia="Arial" w:hAnsi="Arial"/>
          <w:color w:val="0F172A"/>
          <w:sz w:val="22"/>
          <w:szCs w:val="22"/>
        </w:rPr>
        <w:t xml:space="preserve">LLMs remain allowed in surfaces locked earlier in v5: recipe drafting (§6.1), menu cleanup (§24), ingredient name normalization (§29). The forecast → PO pipeline is the explicit carve-out.</w:t>
      </w:r>
    </w:p>
    <w:p>
      <w:pPr>
        <w:pStyle w:val="Heading2"/>
        <w:spacing w:after="120" w:before="280"/>
      </w:pPr>
      <w:r>
        <w:rPr>
          <w:rFonts w:ascii="Arial" w:cs="Arial" w:eastAsia="Arial" w:hAnsi="Arial"/>
          <w:b/>
          <w:bCs/>
          <w:color w:val="0F172A"/>
          <w:sz w:val="28"/>
          <w:szCs w:val="28"/>
        </w:rPr>
        <w:t xml:space="preserve">4.5 Round 2 lock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6300"/>
        <w:gridCol w:w="2280"/>
      </w:tblGrid>
      <w:tr>
        <w:trPr>
          <w:tblHeader/>
        </w:trPr>
        <w:tc>
          <w:tcPr>
            <w:tcW w:type="dxa" w:w="78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w:t>
            </w:r>
          </w:p>
        </w:tc>
        <w:tc>
          <w:tcPr>
            <w:tcW w:type="dxa" w:w="63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Decision</w:t>
            </w:r>
          </w:p>
        </w:tc>
        <w:tc>
          <w:tcPr>
            <w:tcW w:type="dxa" w:w="228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Status</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2.1</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Forecast engine is fully deterministic. No LLM in the forecasting math.</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2.2</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PO reasoning trace is templated from structured forecast output. No LLM at PO draft time.</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2.3</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Trace must be reproducible: same inputs → same prose.</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2.4</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LLM remains allowed in already-locked surfaces (recipe drafting, menu cleanup, ingredient normalization). Forecast/PO loop is the carve-out.</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bl>
    <w:p>
      <w:r>
        <w:br w:type="page"/>
      </w:r>
    </w:p>
    <w:p>
      <w:pPr>
        <w:pStyle w:val="Heading1"/>
        <w:spacing w:after="160" w:before="360"/>
      </w:pPr>
      <w:r>
        <w:rPr>
          <w:rFonts w:ascii="Arial" w:cs="Arial" w:eastAsia="Arial" w:hAnsi="Arial"/>
          <w:b/>
          <w:bCs/>
          <w:color w:val="0F172A"/>
          <w:sz w:val="36"/>
          <w:szCs w:val="36"/>
        </w:rPr>
        <w:t xml:space="preserve">5. Round 3: PO feedback loop — purpose and structure</w:t>
      </w:r>
    </w:p>
    <w:p>
      <w:pPr>
        <w:pStyle w:val="Heading2"/>
        <w:spacing w:after="120" w:before="280"/>
      </w:pPr>
      <w:r>
        <w:rPr>
          <w:rFonts w:ascii="Arial" w:cs="Arial" w:eastAsia="Arial" w:hAnsi="Arial"/>
          <w:b/>
          <w:bCs/>
          <w:color w:val="0F172A"/>
          <w:sz w:val="28"/>
          <w:szCs w:val="28"/>
        </w:rPr>
        <w:t xml:space="preserve">5.1 The question</w:t>
      </w:r>
    </w:p>
    <w:p>
      <w:pPr>
        <w:spacing w:after="80" w:before="80" w:line="300"/>
      </w:pPr>
      <w:r>
        <w:rPr>
          <w:rFonts w:ascii="Arial" w:cs="Arial" w:eastAsia="Arial" w:hAnsi="Arial"/>
          <w:color w:val="0F172A"/>
          <w:sz w:val="22"/>
          <w:szCs w:val="22"/>
        </w:rPr>
        <w:t xml:space="preserve">v5 already locked one feedback mechanism: shift-close counts measure actual depletion, and after 14 days of measured data, true yields back-replace declared yields (§6.2). Round 3 introduced a second, independent feedback signal: after each completed PO cycle, the owner is asked whether the system's quantity and timing decisions were right.</w:t>
      </w:r>
    </w:p>
    <w:p>
      <w:pPr>
        <w:pStyle w:val="Heading2"/>
        <w:spacing w:after="120" w:before="280"/>
      </w:pPr>
      <w:r>
        <w:rPr>
          <w:rFonts w:ascii="Arial" w:cs="Arial" w:eastAsia="Arial" w:hAnsi="Arial"/>
          <w:b/>
          <w:bCs/>
          <w:color w:val="0F172A"/>
          <w:sz w:val="28"/>
          <w:szCs w:val="28"/>
        </w:rPr>
        <w:t xml:space="preserve">5.2 The decision</w:t>
      </w:r>
    </w:p>
    <w:p>
      <w:pPr>
        <w:spacing w:after="80" w:before="80" w:line="300"/>
      </w:pPr>
      <w:r>
        <w:rPr>
          <w:rFonts w:ascii="Arial" w:cs="Arial" w:eastAsia="Arial" w:hAnsi="Arial"/>
          <w:color w:val="0F172A"/>
          <w:sz w:val="22"/>
          <w:szCs w:val="22"/>
        </w:rPr>
        <w:t xml:space="preserve">After 5 PO cycles across any supplier (tenant-wide threshold, hits in roughly two weeks of normal operation), accumulated feedback begins adjusting tenant-level ordering parameters. Two-axis prompt structure:</w:t>
      </w:r>
    </w:p>
    <w:p>
      <w:pPr>
        <w:pStyle w:val="ListParagraph"/>
        <w:numPr>
          <w:ilvl w:val="0"/>
          <w:numId w:val="2"/>
        </w:numPr>
        <w:spacing w:after="60" w:before="60" w:line="300"/>
      </w:pPr>
      <w:r>
        <w:rPr>
          <w:rFonts w:ascii="Arial" w:cs="Arial" w:eastAsia="Arial" w:hAnsi="Arial"/>
          <w:b/>
          <w:bCs/>
          <w:color w:val="0F172A"/>
          <w:sz w:val="22"/>
          <w:szCs w:val="22"/>
        </w:rPr>
        <w:t xml:space="preserve">Quantity: </w:t>
      </w:r>
      <w:r>
        <w:rPr>
          <w:rFonts w:ascii="Arial" w:cs="Arial" w:eastAsia="Arial" w:hAnsi="Arial"/>
          <w:color w:val="0F172A"/>
          <w:sz w:val="22"/>
          <w:szCs w:val="22"/>
        </w:rPr>
        <w:t xml:space="preserve">Was that the right amount? (Too much / Just right / Too little)</w:t>
      </w:r>
    </w:p>
    <w:p>
      <w:pPr>
        <w:pStyle w:val="ListParagraph"/>
        <w:numPr>
          <w:ilvl w:val="0"/>
          <w:numId w:val="2"/>
        </w:numPr>
        <w:spacing w:after="60" w:before="60" w:line="300"/>
      </w:pPr>
      <w:r>
        <w:rPr>
          <w:rFonts w:ascii="Arial" w:cs="Arial" w:eastAsia="Arial" w:hAnsi="Arial"/>
          <w:b/>
          <w:bCs/>
          <w:color w:val="0F172A"/>
          <w:sz w:val="22"/>
          <w:szCs w:val="22"/>
        </w:rPr>
        <w:t xml:space="preserve">Timing: </w:t>
      </w:r>
      <w:r>
        <w:rPr>
          <w:rFonts w:ascii="Arial" w:cs="Arial" w:eastAsia="Arial" w:hAnsi="Arial"/>
          <w:color w:val="0F172A"/>
          <w:sz w:val="22"/>
          <w:szCs w:val="22"/>
        </w:rPr>
        <w:t xml:space="preserve">Did the timing work? (Earlier next time / Right / Later next time)</w:t>
      </w:r>
    </w:p>
    <w:p>
      <w:pPr>
        <w:spacing w:after="80" w:before="80" w:line="300"/>
      </w:pPr>
      <w:r>
        <w:rPr>
          <w:rFonts w:ascii="Arial" w:cs="Arial" w:eastAsia="Arial" w:hAnsi="Arial"/>
          <w:color w:val="0F172A"/>
          <w:sz w:val="22"/>
          <w:szCs w:val="22"/>
        </w:rPr>
        <w:t xml:space="preserve">Both axes are captured as separate structured signals. Two independent learning systems run in parallel without conflict.</w:t>
      </w:r>
    </w:p>
    <w:p>
      <w:pPr>
        <w:pStyle w:val="Heading2"/>
        <w:spacing w:after="120" w:before="280"/>
      </w:pPr>
      <w:r>
        <w:rPr>
          <w:rFonts w:ascii="Arial" w:cs="Arial" w:eastAsia="Arial" w:hAnsi="Arial"/>
          <w:b/>
          <w:bCs/>
          <w:color w:val="0F172A"/>
          <w:sz w:val="28"/>
          <w:szCs w:val="28"/>
        </w:rPr>
        <w:t xml:space="preserve">5.3 Parameter ownership — the critical partition</w:t>
      </w:r>
    </w:p>
    <w:p>
      <w:pPr>
        <w:spacing w:after="80" w:before="80" w:line="300"/>
      </w:pPr>
      <w:r>
        <w:rPr>
          <w:rFonts w:ascii="Arial" w:cs="Arial" w:eastAsia="Arial" w:hAnsi="Arial"/>
          <w:color w:val="0F172A"/>
          <w:sz w:val="22"/>
          <w:szCs w:val="22"/>
        </w:rPr>
        <w:t xml:space="preserve">The two learning systems must never edit the same parameter. This is what makes "two independent signals" mathematically true rather than just descriptively true. Without this partition, the systems would correct the same problem twice and overshoot.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Parameter</w:t>
            </w:r>
          </w:p>
        </w:tc>
        <w:tc>
          <w:tcPr>
            <w:tcW w:type="dxa" w:w="28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Owner</w:t>
            </w:r>
          </w:p>
        </w:tc>
        <w:tc>
          <w:tcPr>
            <w:tcW w:type="dxa" w:w="376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How it learns</w:t>
            </w:r>
          </w:p>
        </w:tc>
      </w:tr>
      <w:tr>
        <w:tc>
          <w:tcPr>
            <w:tcW w:type="dxa" w:w="2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Per-ingredient consumption rate (lb/pizza, units/dish)</w:t>
            </w:r>
          </w:p>
        </w:tc>
        <w:tc>
          <w:tcPr>
            <w:tcW w:type="dxa" w:w="2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Yield learning (v5 §6.2)</w:t>
            </w:r>
          </w:p>
        </w:tc>
        <w:tc>
          <w:tcPr>
            <w:tcW w:type="dxa" w:w="37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Back-calculated from shift-close counts; measured replaces declared at day 14</w:t>
            </w:r>
          </w:p>
        </w:tc>
      </w:tr>
      <w:tr>
        <w:tc>
          <w:tcPr>
            <w:tcW w:type="dxa" w:w="2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Per-supplier lead-time assumption</w:t>
            </w:r>
          </w:p>
        </w:tc>
        <w:tc>
          <w:tcPr>
            <w:tcW w:type="dxa" w:w="2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PO feedback</w:t>
            </w:r>
          </w:p>
        </w:tc>
        <w:tc>
          <w:tcPr>
            <w:tcW w:type="dxa" w:w="37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Adjusted by timing-axis answers (earlier/right/later)</w:t>
            </w:r>
          </w:p>
        </w:tc>
      </w:tr>
      <w:tr>
        <w:tc>
          <w:tcPr>
            <w:tcW w:type="dxa" w:w="2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Tenant-wide safety-stock multiplier</w:t>
            </w:r>
          </w:p>
        </w:tc>
        <w:tc>
          <w:tcPr>
            <w:tcW w:type="dxa" w:w="2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PO feedback</w:t>
            </w:r>
          </w:p>
        </w:tc>
        <w:tc>
          <w:tcPr>
            <w:tcW w:type="dxa" w:w="37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Adjusted by quantity-axis answers (too much/right/too little)</w:t>
            </w:r>
          </w:p>
        </w:tc>
      </w:tr>
      <w:tr>
        <w:tc>
          <w:tcPr>
            <w:tcW w:type="dxa" w:w="2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Reorder-threshold timing offset</w:t>
            </w:r>
          </w:p>
        </w:tc>
        <w:tc>
          <w:tcPr>
            <w:tcW w:type="dxa" w:w="2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PO feedback</w:t>
            </w:r>
          </w:p>
        </w:tc>
        <w:tc>
          <w:tcPr>
            <w:tcW w:type="dxa" w:w="37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Adjusted by timing-axis answers</w:t>
            </w:r>
          </w:p>
        </w:tc>
      </w:tr>
    </w:tbl>
    <w:p>
      <w:pPr>
        <w:pStyle w:val="Heading2"/>
        <w:spacing w:after="120" w:before="280"/>
      </w:pPr>
      <w:r>
        <w:rPr>
          <w:rFonts w:ascii="Arial" w:cs="Arial" w:eastAsia="Arial" w:hAnsi="Arial"/>
          <w:b/>
          <w:bCs/>
          <w:color w:val="0F172A"/>
          <w:sz w:val="28"/>
          <w:szCs w:val="28"/>
        </w:rPr>
        <w:t xml:space="preserve">5.4 The trade-off accepted</w:t>
      </w:r>
    </w:p>
    <w:p>
      <w:pPr>
        <w:spacing w:after="80" w:before="80" w:line="300"/>
      </w:pPr>
      <w:r>
        <w:rPr>
          <w:rFonts w:ascii="Arial" w:cs="Arial" w:eastAsia="Arial" w:hAnsi="Arial"/>
          <w:color w:val="0F172A"/>
          <w:sz w:val="22"/>
          <w:szCs w:val="22"/>
        </w:rPr>
        <w:t xml:space="preserve">PO feedback is intentionally coarse. When an owner says "Sysco tomatoes were under-ordered" five times, the system tunes Sysco's lead-time or the tenant's safety multiplier — it does not learn "buy more tomatoes specifically." That granularity is owned by yield learning, which will independently catch under-consumption modeling. If the owner's intuition is "tomatoes specifically need more buffer" and yield learning hasn't caught up, the owner can manually adjust the par level — that's an existing escape hatch from v5, not new design.</w:t>
      </w:r>
    </w:p>
    <w:p>
      <w:pPr>
        <w:pStyle w:val="Heading2"/>
        <w:spacing w:after="120" w:before="280"/>
      </w:pPr>
      <w:r>
        <w:rPr>
          <w:rFonts w:ascii="Arial" w:cs="Arial" w:eastAsia="Arial" w:hAnsi="Arial"/>
          <w:b/>
          <w:bCs/>
          <w:color w:val="0F172A"/>
          <w:sz w:val="28"/>
          <w:szCs w:val="28"/>
        </w:rPr>
        <w:t xml:space="preserve">5.5 Round 3 lock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6300"/>
        <w:gridCol w:w="2280"/>
      </w:tblGrid>
      <w:tr>
        <w:trPr>
          <w:tblHeader/>
        </w:trPr>
        <w:tc>
          <w:tcPr>
            <w:tcW w:type="dxa" w:w="78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w:t>
            </w:r>
          </w:p>
        </w:tc>
        <w:tc>
          <w:tcPr>
            <w:tcW w:type="dxa" w:w="63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Decision</w:t>
            </w:r>
          </w:p>
        </w:tc>
        <w:tc>
          <w:tcPr>
            <w:tcW w:type="dxa" w:w="228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Status</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3.1</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PO feedback loop activates after 5 POs across any supplier (tenant-wide, ~2 weeks).</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3.2</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Feedback prompt is two-axis: quantity (too much / right / too little) + timing (earlier / right / later).</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3.3</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Two independent learning signals run in parallel: shift-close yield learning + PO feedback.</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3.4</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Parameter ownership is partitioned. Yield learning owns per-ingredient consumption. PO feedback owns per-supplier lead-time, tenant-wide safety multiplier, reorder-threshold timing offset.</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3.5</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The two systems cannot edit the same field. Variance Report stays debuggable because every forecast parameter has exactly one owner.</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bl>
    <w:p>
      <w:r>
        <w:br w:type="page"/>
      </w:r>
    </w:p>
    <w:p>
      <w:pPr>
        <w:pStyle w:val="Heading1"/>
        <w:spacing w:after="160" w:before="360"/>
      </w:pPr>
      <w:r>
        <w:rPr>
          <w:rFonts w:ascii="Arial" w:cs="Arial" w:eastAsia="Arial" w:hAnsi="Arial"/>
          <w:b/>
          <w:bCs/>
          <w:color w:val="0F172A"/>
          <w:sz w:val="36"/>
          <w:szCs w:val="36"/>
        </w:rPr>
        <w:t xml:space="preserve">6. Round 4: PO feedback loop — collection mechanics</w:t>
      </w:r>
    </w:p>
    <w:p>
      <w:pPr>
        <w:pStyle w:val="Heading2"/>
        <w:spacing w:after="120" w:before="280"/>
      </w:pPr>
      <w:r>
        <w:rPr>
          <w:rFonts w:ascii="Arial" w:cs="Arial" w:eastAsia="Arial" w:hAnsi="Arial"/>
          <w:b/>
          <w:bCs/>
          <w:color w:val="0F172A"/>
          <w:sz w:val="28"/>
          <w:szCs w:val="28"/>
        </w:rPr>
        <w:t xml:space="preserve">6.1 The question</w:t>
      </w:r>
    </w:p>
    <w:p>
      <w:pPr>
        <w:spacing w:after="80" w:before="80" w:line="300"/>
      </w:pPr>
      <w:r>
        <w:rPr>
          <w:rFonts w:ascii="Arial" w:cs="Arial" w:eastAsia="Arial" w:hAnsi="Arial"/>
          <w:color w:val="0F172A"/>
          <w:sz w:val="22"/>
          <w:szCs w:val="22"/>
        </w:rPr>
        <w:t xml:space="preserve">Round 3 locked what the feedback measures. Round 4 locked when and how it gets collected — because the answer materially affects the receiving flow design and the owner's notification load.</w:t>
      </w:r>
    </w:p>
    <w:p>
      <w:pPr>
        <w:pStyle w:val="Heading2"/>
        <w:spacing w:after="120" w:before="280"/>
      </w:pPr>
      <w:r>
        <w:rPr>
          <w:rFonts w:ascii="Arial" w:cs="Arial" w:eastAsia="Arial" w:hAnsi="Arial"/>
          <w:b/>
          <w:bCs/>
          <w:color w:val="0F172A"/>
          <w:sz w:val="28"/>
          <w:szCs w:val="28"/>
        </w:rPr>
        <w:t xml:space="preserve">6.2 The decision: Moment D with per-supplier delay</w:t>
      </w:r>
    </w:p>
    <w:p>
      <w:pPr>
        <w:spacing w:after="80" w:before="80" w:line="300"/>
      </w:pPr>
      <w:r>
        <w:rPr>
          <w:rFonts w:ascii="Arial" w:cs="Arial" w:eastAsia="Arial" w:hAnsi="Arial"/>
          <w:color w:val="0F172A"/>
          <w:sz w:val="22"/>
          <w:szCs w:val="22"/>
        </w:rPr>
        <w:t xml:space="preserve">Two prompts per PO cycle, each landing at the moment its question is answerable:</w:t>
      </w:r>
    </w:p>
    <w:p>
      <w:pPr>
        <w:pStyle w:val="ListParagraph"/>
        <w:numPr>
          <w:ilvl w:val="0"/>
          <w:numId w:val="2"/>
        </w:numPr>
        <w:spacing w:after="60" w:before="60" w:line="300"/>
      </w:pPr>
      <w:r>
        <w:rPr>
          <w:rFonts w:ascii="Arial" w:cs="Arial" w:eastAsia="Arial" w:hAnsi="Arial"/>
          <w:b/>
          <w:bCs/>
          <w:color w:val="0F172A"/>
          <w:sz w:val="22"/>
          <w:szCs w:val="22"/>
        </w:rPr>
        <w:t xml:space="preserve">Timing prompt fires at receiving. </w:t>
      </w:r>
      <w:r>
        <w:rPr>
          <w:rFonts w:ascii="Arial" w:cs="Arial" w:eastAsia="Arial" w:hAnsi="Arial"/>
          <w:color w:val="0F172A"/>
          <w:sz w:val="22"/>
          <w:szCs w:val="22"/>
        </w:rPr>
        <w:t xml:space="preserve">When the owner records the delivery, the timing question is asked then — "did this arrive when you expected?"</w:t>
      </w:r>
    </w:p>
    <w:p>
      <w:pPr>
        <w:pStyle w:val="ListParagraph"/>
        <w:numPr>
          <w:ilvl w:val="0"/>
          <w:numId w:val="2"/>
        </w:numPr>
        <w:spacing w:after="60" w:before="60" w:line="300"/>
      </w:pPr>
      <w:r>
        <w:rPr>
          <w:rFonts w:ascii="Arial" w:cs="Arial" w:eastAsia="Arial" w:hAnsi="Arial"/>
          <w:b/>
          <w:bCs/>
          <w:color w:val="0F172A"/>
          <w:sz w:val="22"/>
          <w:szCs w:val="22"/>
        </w:rPr>
        <w:t xml:space="preserve">Quantity prompt fires after a per-supplier delay. </w:t>
      </w:r>
      <w:r>
        <w:rPr>
          <w:rFonts w:ascii="Arial" w:cs="Arial" w:eastAsia="Arial" w:hAnsi="Arial"/>
          <w:color w:val="0F172A"/>
          <w:sz w:val="22"/>
          <w:szCs w:val="22"/>
        </w:rPr>
        <w:t xml:space="preserve">Owner cannot judge whether quantity was right until they've used the stock for several days. The delay is tuned per supplier based on how fast the tenant typically depletes that supplier's basket.</w:t>
      </w:r>
    </w:p>
    <w:p>
      <w:pPr>
        <w:pStyle w:val="Heading2"/>
        <w:spacing w:after="120" w:before="280"/>
      </w:pPr>
      <w:r>
        <w:rPr>
          <w:rFonts w:ascii="Arial" w:cs="Arial" w:eastAsia="Arial" w:hAnsi="Arial"/>
          <w:b/>
          <w:bCs/>
          <w:color w:val="0F172A"/>
          <w:sz w:val="28"/>
          <w:szCs w:val="28"/>
        </w:rPr>
        <w:t xml:space="preserve">6.3 Cold-start defaults for per-supplier delay</w:t>
      </w:r>
    </w:p>
    <w:p>
      <w:pPr>
        <w:spacing w:after="80" w:before="80" w:line="300"/>
      </w:pPr>
      <w:r>
        <w:rPr>
          <w:rFonts w:ascii="Arial" w:cs="Arial" w:eastAsia="Arial" w:hAnsi="Arial"/>
          <w:color w:val="0F172A"/>
          <w:sz w:val="22"/>
          <w:szCs w:val="22"/>
        </w:rPr>
        <w:t xml:space="preserve">During the calibration window (first 5 POs), the system uses sensible defaults per supplier category. Once calibrated, the system learns true delays from depletion 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rPr>
          <w:tblHeader/>
        </w:trPr>
        <w:tc>
          <w:tcPr>
            <w:tcW w:type="dxa" w:w="35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Supplier category</w:t>
            </w:r>
          </w:p>
        </w:tc>
        <w:tc>
          <w:tcPr>
            <w:tcW w:type="dxa" w:w="15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Default delay</w:t>
            </w:r>
          </w:p>
        </w:tc>
        <w:tc>
          <w:tcPr>
            <w:tcW w:type="dxa" w:w="436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Rationale</w:t>
            </w:r>
          </w:p>
        </w:tc>
      </w:tr>
      <w:tr>
        <w:tc>
          <w:tcPr>
            <w:tcW w:type="dxa" w:w="3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Sysco-class (broad food distributor)</w:t>
            </w:r>
          </w:p>
        </w:tc>
        <w:tc>
          <w:tcPr>
            <w:tcW w:type="dxa" w:w="1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4 days</w:t>
            </w:r>
          </w:p>
        </w:tc>
        <w:tc>
          <w:tcPr>
            <w:tcW w:type="dxa" w:w="4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Weekly cadence, fast turn</w:t>
            </w:r>
          </w:p>
        </w:tc>
      </w:tr>
      <w:tr>
        <w:tc>
          <w:tcPr>
            <w:tcW w:type="dxa" w:w="3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Specialty produce (e.g., Highland)</w:t>
            </w:r>
          </w:p>
        </w:tc>
        <w:tc>
          <w:tcPr>
            <w:tcW w:type="dxa" w:w="1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3 days</w:t>
            </w:r>
          </w:p>
        </w:tc>
        <w:tc>
          <w:tcPr>
            <w:tcW w:type="dxa" w:w="4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Highly perishable, used quickly</w:t>
            </w:r>
          </w:p>
        </w:tc>
      </w:tr>
      <w:tr>
        <w:tc>
          <w:tcPr>
            <w:tcW w:type="dxa" w:w="3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Paper / cleaning / slow-moving (e.g., Concord)</w:t>
            </w:r>
          </w:p>
        </w:tc>
        <w:tc>
          <w:tcPr>
            <w:tcW w:type="dxa" w:w="1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14 days</w:t>
            </w:r>
          </w:p>
        </w:tc>
        <w:tc>
          <w:tcPr>
            <w:tcW w:type="dxa" w:w="4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Bulk goods, low daily depletion</w:t>
            </w:r>
          </w:p>
        </w:tc>
      </w:tr>
    </w:tbl>
    <w:p>
      <w:pPr>
        <w:pStyle w:val="Heading2"/>
        <w:spacing w:after="120" w:before="280"/>
      </w:pPr>
      <w:r>
        <w:rPr>
          <w:rFonts w:ascii="Arial" w:cs="Arial" w:eastAsia="Arial" w:hAnsi="Arial"/>
          <w:b/>
          <w:bCs/>
          <w:color w:val="0F172A"/>
          <w:sz w:val="28"/>
          <w:szCs w:val="28"/>
        </w:rPr>
        <w:t xml:space="preserve">6.4 Skippable always — the owner has full agency</w:t>
      </w:r>
    </w:p>
    <w:p>
      <w:pPr>
        <w:spacing w:after="80" w:before="80" w:line="300"/>
      </w:pPr>
      <w:r>
        <w:rPr>
          <w:rFonts w:ascii="Arial" w:cs="Arial" w:eastAsia="Arial" w:hAnsi="Arial"/>
          <w:color w:val="0F172A"/>
          <w:sz w:val="22"/>
          <w:szCs w:val="22"/>
        </w:rPr>
        <w:t xml:space="preserve">Every prompt is dismissible with "skip this one." Skipped feedback does not count toward the 5-PO calibration threshold — only answered ones do. The system does not paternalistically batch or hide prompts on the owner's behalf. Each cycle generates two prompts; the owner decides what to engage with.</w:t>
      </w:r>
    </w:p>
    <w:p>
      <w:pPr>
        <w:spacing w:after="80" w:before="80" w:line="300"/>
      </w:pPr>
      <w:r>
        <w:rPr>
          <w:rFonts w:ascii="Arial" w:cs="Arial" w:eastAsia="Arial" w:hAnsi="Arial"/>
          <w:color w:val="0F172A"/>
          <w:sz w:val="22"/>
          <w:szCs w:val="22"/>
        </w:rPr>
        <w:t xml:space="preserve">The principle: the app's job is to surface signal honestly, not to manage the owner's attention. Skipped prompts cost the owner forecast quality, which is the right incentive structure.</w:t>
      </w:r>
    </w:p>
    <w:p>
      <w:pPr>
        <w:pStyle w:val="Heading2"/>
        <w:spacing w:after="120" w:before="280"/>
      </w:pPr>
      <w:r>
        <w:rPr>
          <w:rFonts w:ascii="Arial" w:cs="Arial" w:eastAsia="Arial" w:hAnsi="Arial"/>
          <w:b/>
          <w:bCs/>
          <w:color w:val="0F172A"/>
          <w:sz w:val="28"/>
          <w:szCs w:val="28"/>
        </w:rPr>
        <w:t xml:space="preserve">6.5 The trade-off accepted, with a watch item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2"/>
              <w:left w:val="single" w:color="B45309" w:sz="12"/>
              <w:bottom w:val="single" w:color="B45309" w:sz="4"/>
              <w:right w:val="single" w:color="B45309" w:sz="4"/>
            </w:tcBorders>
            <w:shd w:fill="FEF3C7" w:val="clear"/>
            <w:tcMar>
              <w:top w:type="dxa" w:w="200"/>
              <w:left w:type="dxa" w:w="280"/>
              <w:bottom w:type="dxa" w:w="200"/>
              <w:right w:type="dxa" w:w="280"/>
            </w:tcMar>
          </w:tcPr>
          <w:p>
            <w:pPr>
              <w:spacing w:after="80" w:before="0" w:line="300"/>
            </w:pPr>
            <w:r>
              <w:rPr>
                <w:rFonts w:ascii="Arial" w:cs="Arial" w:eastAsia="Arial" w:hAnsi="Arial"/>
                <w:b/>
                <w:bCs/>
                <w:color w:val="0F172A"/>
                <w:sz w:val="22"/>
                <w:szCs w:val="22"/>
              </w:rPr>
              <w:t xml:space="preserve">Notification load is real. </w:t>
            </w:r>
            <w:r>
              <w:rPr>
                <w:rFonts w:ascii="Arial" w:cs="Arial" w:eastAsia="Arial" w:hAnsi="Arial"/>
                <w:color w:val="0F172A"/>
                <w:sz w:val="22"/>
                <w:szCs w:val="22"/>
              </w:rPr>
              <w:t xml:space="preserve">A typical tenant with 6 suppliers receives ~8 feedback prompts per week from this system, on top of shift-close, admin alerts, and agent activity pushes. The owner's full agency to engage or skip is the philosophical answer — but if beta data shows owners turning off iOS notifications at the OS level, that is the structural-load failure signal.</w:t>
            </w:r>
          </w:p>
          <w:p>
            <w:pPr>
              <w:spacing w:after="80" w:before="80" w:line="300"/>
            </w:pPr>
            <w:r>
              <w:rPr>
                <w:rFonts w:ascii="Arial" w:cs="Arial" w:eastAsia="Arial" w:hAnsi="Arial"/>
                <w:color w:val="0F172A"/>
                <w:sz w:val="22"/>
                <w:szCs w:val="22"/>
              </w:rPr>
              <w:t xml:space="preserve"/>
            </w:r>
          </w:p>
          <w:p>
            <w:pPr>
              <w:spacing w:after="80" w:before="80" w:line="300"/>
            </w:pPr>
            <w:r>
              <w:rPr>
                <w:rFonts w:ascii="Arial" w:cs="Arial" w:eastAsia="Arial" w:hAnsi="Arial"/>
                <w:b/>
                <w:bCs/>
                <w:color w:val="0F172A"/>
                <w:sz w:val="22"/>
                <w:szCs w:val="22"/>
              </w:rPr>
              <w:t xml:space="preserve">Watch item logged for Phase 2: </w:t>
            </w:r>
            <w:r>
              <w:rPr>
                <w:rFonts w:ascii="Arial" w:cs="Arial" w:eastAsia="Arial" w:hAnsi="Arial"/>
                <w:color w:val="0F172A"/>
                <w:sz w:val="22"/>
                <w:szCs w:val="22"/>
              </w:rPr>
              <w:t xml:space="preserve">monitor beta for OS-level notification disablement. If it surfaces, revisit the inline-timing-at-receiving and batched-quantity-prompt refinements that were considered and rejected for v1.</w:t>
            </w:r>
          </w:p>
        </w:tc>
      </w:tr>
    </w:tbl>
    <w:p>
      <w:pPr>
        <w:pStyle w:val="Heading2"/>
        <w:spacing w:after="120" w:before="280"/>
      </w:pPr>
      <w:r>
        <w:rPr>
          <w:rFonts w:ascii="Arial" w:cs="Arial" w:eastAsia="Arial" w:hAnsi="Arial"/>
          <w:b/>
          <w:bCs/>
          <w:color w:val="0F172A"/>
          <w:sz w:val="28"/>
          <w:szCs w:val="28"/>
        </w:rPr>
        <w:t xml:space="preserve">6.6 Round 4 lock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6300"/>
        <w:gridCol w:w="2280"/>
      </w:tblGrid>
      <w:tr>
        <w:trPr>
          <w:tblHeader/>
        </w:trPr>
        <w:tc>
          <w:tcPr>
            <w:tcW w:type="dxa" w:w="78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w:t>
            </w:r>
          </w:p>
        </w:tc>
        <w:tc>
          <w:tcPr>
            <w:tcW w:type="dxa" w:w="63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Decision</w:t>
            </w:r>
          </w:p>
        </w:tc>
        <w:tc>
          <w:tcPr>
            <w:tcW w:type="dxa" w:w="228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Status</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4.1</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PO feedback uses Moment D: timing question at receiving, quantity question after a per-supplier delay.</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4.2</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Per-supplier delay tuned to typical depletion rate. Defaults for first 5 POs by supplier category: Sysco-class → 4d, specialty produce → 3d, paper/cleaning/slow → 14d. System learns true delay over time.</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4.3</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All feedback prompts are skippable. Skipped prompts do NOT count toward 5-PO calibration threshold.</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4.4</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No batching, no inline-piggyback. Each prompt fires independently. Owner has full agency over engagement.</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4.5</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Phase 2 watch item: monitor beta for OS-level notification disablement as a structural-load signal. If surfaced, revisit inline timing prompt.</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1E40AF"/>
                <w:sz w:val="20"/>
                <w:szCs w:val="20"/>
              </w:rPr>
              <w:t xml:space="preserve">Logged</w:t>
            </w:r>
          </w:p>
        </w:tc>
      </w:tr>
    </w:tbl>
    <w:p>
      <w:r>
        <w:br w:type="page"/>
      </w:r>
    </w:p>
    <w:p>
      <w:pPr>
        <w:pStyle w:val="Heading1"/>
        <w:spacing w:after="160" w:before="360"/>
      </w:pPr>
      <w:r>
        <w:rPr>
          <w:rFonts w:ascii="Arial" w:cs="Arial" w:eastAsia="Arial" w:hAnsi="Arial"/>
          <w:b/>
          <w:bCs/>
          <w:color w:val="0F172A"/>
          <w:sz w:val="36"/>
          <w:szCs w:val="36"/>
        </w:rPr>
        <w:t xml:space="preserve">7. Round 5: Forecast math, signals, and cold-start</w:t>
      </w:r>
    </w:p>
    <w:p>
      <w:pPr>
        <w:spacing w:after="80" w:before="80" w:line="300"/>
      </w:pPr>
      <w:r>
        <w:rPr>
          <w:rFonts w:ascii="Arial" w:cs="Arial" w:eastAsia="Arial" w:hAnsi="Arial"/>
          <w:color w:val="0F172A"/>
          <w:sz w:val="22"/>
          <w:szCs w:val="22"/>
        </w:rPr>
        <w:t xml:space="preserve">Round 5 was the largest single round in the architecture work to date. It locked the actual mathematical method, the input signals, the granularity, the horizon, and the cold-start strategy. Twelve sub-decisions across five sub-rounds.</w:t>
      </w:r>
    </w:p>
    <w:p>
      <w:pPr>
        <w:pStyle w:val="Heading2"/>
        <w:spacing w:after="120" w:before="280"/>
      </w:pPr>
      <w:r>
        <w:rPr>
          <w:rFonts w:ascii="Arial" w:cs="Arial" w:eastAsia="Arial" w:hAnsi="Arial"/>
          <w:b/>
          <w:bCs/>
          <w:color w:val="0F172A"/>
          <w:sz w:val="28"/>
          <w:szCs w:val="28"/>
        </w:rPr>
        <w:t xml:space="preserve">7.1 The guiding principle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2"/>
              <w:left w:val="single" w:color="0F766E" w:sz="12"/>
              <w:bottom w:val="single" w:color="0F766E" w:sz="4"/>
              <w:right w:val="single" w:color="0F766E" w:sz="4"/>
            </w:tcBorders>
            <w:shd w:fill="CCFBF1" w:val="clear"/>
            <w:tcMar>
              <w:top w:type="dxa" w:w="200"/>
              <w:left w:type="dxa" w:w="280"/>
              <w:bottom w:type="dxa" w:w="200"/>
              <w:right w:type="dxa" w:w="280"/>
            </w:tcMar>
          </w:tcPr>
          <w:p>
            <w:pPr>
              <w:spacing w:after="80" w:before="0" w:line="300"/>
            </w:pPr>
            <w:r>
              <w:rPr>
                <w:rFonts w:ascii="Arial" w:cs="Arial" w:eastAsia="Arial" w:hAnsi="Arial"/>
                <w:b/>
                <w:bCs/>
                <w:color w:val="0F172A"/>
                <w:sz w:val="22"/>
                <w:szCs w:val="22"/>
              </w:rPr>
              <w:t xml:space="preserve">The forecast engine optimizes for accuracy and confidence — not simplicity, speed, or compute cost. </w:t>
            </w:r>
            <w:r>
              <w:rPr>
                <w:rFonts w:ascii="Arial" w:cs="Arial" w:eastAsia="Arial" w:hAnsi="Arial"/>
                <w:color w:val="0F172A"/>
                <w:sz w:val="22"/>
                <w:szCs w:val="22"/>
              </w:rPr>
              <w:t xml:space="preserve">When trade-offs come up, the answer is "do the harder thing if it makes the forecast more trustworthy." Compute cost is not a binding constraint at v1 scale; the binding constraint is owner trust in the numbers.</w:t>
            </w:r>
          </w:p>
          <w:p>
            <w:pPr>
              <w:spacing w:after="80" w:before="80" w:line="300"/>
            </w:pPr>
            <w:r>
              <w:rPr>
                <w:rFonts w:ascii="Arial" w:cs="Arial" w:eastAsia="Arial" w:hAnsi="Arial"/>
                <w:color w:val="0F172A"/>
                <w:sz w:val="22"/>
                <w:szCs w:val="22"/>
              </w:rPr>
              <w:t xml:space="preserve"/>
            </w:r>
          </w:p>
          <w:p>
            <w:pPr>
              <w:spacing w:after="80" w:before="80" w:line="300"/>
            </w:pPr>
            <w:r>
              <w:rPr>
                <w:rFonts w:ascii="Arial" w:cs="Arial" w:eastAsia="Arial" w:hAnsi="Arial"/>
                <w:i/>
                <w:iCs/>
                <w:color w:val="0F172A"/>
                <w:sz w:val="22"/>
                <w:szCs w:val="22"/>
              </w:rPr>
              <w:t xml:space="preserve">Quote that anchored this principle: "The closer confidence intervals we are at accurately understanding the inventory the better buyer power decisions the owner can make and know how long he has left."</w:t>
            </w:r>
          </w:p>
        </w:tc>
      </w:tr>
    </w:tbl>
    <w:p>
      <w:pPr>
        <w:pStyle w:val="Heading2"/>
        <w:spacing w:after="120" w:before="280"/>
      </w:pPr>
      <w:r>
        <w:rPr>
          <w:rFonts w:ascii="Arial" w:cs="Arial" w:eastAsia="Arial" w:hAnsi="Arial"/>
          <w:b/>
          <w:bCs/>
          <w:color w:val="0F172A"/>
          <w:sz w:val="28"/>
          <w:szCs w:val="28"/>
        </w:rPr>
        <w:t xml:space="preserve">7.2 Forecast horizon and granularity</w:t>
      </w:r>
    </w:p>
    <w:p>
      <w:pPr>
        <w:spacing w:after="80" w:before="80" w:line="300"/>
      </w:pPr>
      <w:r>
        <w:rPr>
          <w:rFonts w:ascii="Arial" w:cs="Arial" w:eastAsia="Arial" w:hAnsi="Arial"/>
          <w:color w:val="0F172A"/>
          <w:sz w:val="22"/>
          <w:szCs w:val="22"/>
        </w:rPr>
        <w:t xml:space="preserve">Locked: 14-day forecast horizon, uniform across all ingredients. Hourly granularity during tenant business hours (sourced from v5 §30.1), no projection during off-hours since stock doesn't move. Auto-degrade to daily granularity for low-volume ingredients (&lt;1 unit/business-day average over trailing 14 days) — hourly forecasts on rare-depletion items produce wildly noisy distributions that destroy owner trust.</w:t>
      </w:r>
    </w:p>
    <w:p>
      <w:pPr>
        <w:pStyle w:val="Heading2"/>
        <w:spacing w:after="120" w:before="280"/>
      </w:pPr>
      <w:r>
        <w:rPr>
          <w:rFonts w:ascii="Arial" w:cs="Arial" w:eastAsia="Arial" w:hAnsi="Arial"/>
          <w:b/>
          <w:bCs/>
          <w:color w:val="0F172A"/>
          <w:sz w:val="28"/>
          <w:szCs w:val="28"/>
        </w:rPr>
        <w:t xml:space="preserve">7.3 The forecast method: decomposition with a full signal stack</w:t>
      </w:r>
    </w:p>
    <w:p>
      <w:pPr>
        <w:spacing w:after="80" w:before="80" w:line="300"/>
      </w:pPr>
      <w:r>
        <w:rPr>
          <w:rFonts w:ascii="Arial" w:cs="Arial" w:eastAsia="Arial" w:hAnsi="Arial"/>
          <w:color w:val="0F172A"/>
          <w:sz w:val="22"/>
          <w:szCs w:val="22"/>
        </w:rPr>
        <w:t xml:space="preserve">Method C (decomposition: trend + weekly seasonality + holidays) plus weather plus events. All five signals as deterministic regressors in the same model. Weather and events extend Method C natively without rewriting the spine.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300"/>
        <w:gridCol w:w="4260"/>
      </w:tblGrid>
      <w:tr>
        <w:trPr>
          <w:tblHeader/>
        </w:trPr>
        <w:tc>
          <w:tcPr>
            <w:tcW w:type="dxa" w:w="19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Signal</w:t>
            </w:r>
          </w:p>
        </w:tc>
        <w:tc>
          <w:tcPr>
            <w:tcW w:type="dxa" w:w="19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Source</w:t>
            </w:r>
          </w:p>
        </w:tc>
        <w:tc>
          <w:tcPr>
            <w:tcW w:type="dxa" w:w="13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Cost</w:t>
            </w:r>
          </w:p>
        </w:tc>
        <w:tc>
          <w:tcPr>
            <w:tcW w:type="dxa" w:w="426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What it captures</w:t>
            </w:r>
          </w:p>
        </w:tc>
      </w:tr>
      <w:tr>
        <w:tc>
          <w:tcPr>
            <w:tcW w:type="dxa" w:w="19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Trend</w:t>
            </w:r>
          </w:p>
        </w:tc>
        <w:tc>
          <w:tcPr>
            <w:tcW w:type="dxa" w:w="19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Trailing depletion history</w:t>
            </w:r>
          </w:p>
        </w:tc>
        <w:tc>
          <w:tcPr>
            <w:tcW w:type="dxa" w:w="1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Internal</w:t>
            </w:r>
          </w:p>
        </w:tc>
        <w:tc>
          <w:tcPr>
            <w:tcW w:type="dxa" w:w="42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Restaurant growing or shrinking over months</w:t>
            </w:r>
          </w:p>
        </w:tc>
      </w:tr>
      <w:tr>
        <w:tc>
          <w:tcPr>
            <w:tcW w:type="dxa" w:w="19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Weekly seasonality</w:t>
            </w:r>
          </w:p>
        </w:tc>
        <w:tc>
          <w:tcPr>
            <w:tcW w:type="dxa" w:w="19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Trailing depletion history</w:t>
            </w:r>
          </w:p>
        </w:tc>
        <w:tc>
          <w:tcPr>
            <w:tcW w:type="dxa" w:w="1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Internal</w:t>
            </w:r>
          </w:p>
        </w:tc>
        <w:tc>
          <w:tcPr>
            <w:tcW w:type="dxa" w:w="42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Mondays slow, Fridays busy — the biggest single pattern in restaurant sales</w:t>
            </w:r>
          </w:p>
        </w:tc>
      </w:tr>
      <w:tr>
        <w:tc>
          <w:tcPr>
            <w:tcW w:type="dxa" w:w="19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Canadian provincial holidays</w:t>
            </w:r>
          </w:p>
        </w:tc>
        <w:tc>
          <w:tcPr>
            <w:tcW w:type="dxa" w:w="19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canada-holidays.ca</w:t>
            </w:r>
          </w:p>
        </w:tc>
        <w:tc>
          <w:tcPr>
            <w:tcW w:type="dxa" w:w="1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Free</w:t>
            </w:r>
          </w:p>
        </w:tc>
        <w:tc>
          <w:tcPr>
            <w:tcW w:type="dxa" w:w="42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All 32 stat holidays across 13 provinces, federal + provincial. Quebec gets Saint-Jean-Baptiste; Ontario Family Day on the right Monday.</w:t>
            </w:r>
          </w:p>
        </w:tc>
      </w:tr>
      <w:tr>
        <w:tc>
          <w:tcPr>
            <w:tcW w:type="dxa" w:w="19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International + religious holidays</w:t>
            </w:r>
          </w:p>
        </w:tc>
        <w:tc>
          <w:tcPr>
            <w:tcW w:type="dxa" w:w="19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Calendarific</w:t>
            </w:r>
          </w:p>
        </w:tc>
        <w:tc>
          <w:tcPr>
            <w:tcW w:type="dxa" w:w="1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$100/year</w:t>
            </w:r>
          </w:p>
        </w:tc>
        <w:tc>
          <w:tcPr>
            <w:tcW w:type="dxa" w:w="42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230+ countries, religious holidays (Eid, Diwali, Ramadan, Lunar New Year, Yom Kippur). Critical for ethnic-cuisine restaurants.</w:t>
            </w:r>
          </w:p>
        </w:tc>
      </w:tr>
      <w:tr>
        <w:tc>
          <w:tcPr>
            <w:tcW w:type="dxa" w:w="19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Weather</w:t>
            </w:r>
          </w:p>
        </w:tc>
        <w:tc>
          <w:tcPr>
            <w:tcW w:type="dxa" w:w="19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Open-Meteo</w:t>
            </w:r>
          </w:p>
        </w:tc>
        <w:tc>
          <w:tcPr>
            <w:tcW w:type="dxa" w:w="1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Free</w:t>
            </w:r>
          </w:p>
        </w:tc>
        <w:tc>
          <w:tcPr>
            <w:tcW w:type="dxa" w:w="42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16-day hourly forecast, geocoded from §30.1 address. Patio sensitivity, rain on brunch traffic, heat killing soup sales.</w:t>
            </w:r>
          </w:p>
        </w:tc>
      </w:tr>
      <w:tr>
        <w:tc>
          <w:tcPr>
            <w:tcW w:type="dxa" w:w="19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Major-venue events</w:t>
            </w:r>
          </w:p>
        </w:tc>
        <w:tc>
          <w:tcPr>
            <w:tcW w:type="dxa" w:w="19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Ticketmaster Discovery API</w:t>
            </w:r>
          </w:p>
        </w:tc>
        <w:tc>
          <w:tcPr>
            <w:tcW w:type="dxa" w:w="1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Free tier (5K calls/day)</w:t>
            </w:r>
          </w:p>
        </w:tc>
        <w:tc>
          <w:tcPr>
            <w:tcW w:type="dxa" w:w="42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Concerts, sports, theatre within radius of restaurant. Major-league only — small venues, festivals, university calendars are Phase 2.</w:t>
            </w:r>
          </w:p>
        </w:tc>
      </w:tr>
    </w:tbl>
    <w:p>
      <w:pPr>
        <w:pStyle w:val="Heading2"/>
        <w:spacing w:after="120" w:before="280"/>
      </w:pPr>
      <w:r>
        <w:rPr>
          <w:rFonts w:ascii="Arial" w:cs="Arial" w:eastAsia="Arial" w:hAnsi="Arial"/>
          <w:b/>
          <w:bCs/>
          <w:color w:val="0F172A"/>
          <w:sz w:val="28"/>
          <w:szCs w:val="28"/>
        </w:rPr>
        <w:t xml:space="preserve">7.4 Cold-start strategy</w:t>
      </w:r>
    </w:p>
    <w:p>
      <w:pPr>
        <w:spacing w:after="80" w:before="80" w:line="300"/>
      </w:pPr>
      <w:r>
        <w:rPr>
          <w:rFonts w:ascii="Arial" w:cs="Arial" w:eastAsia="Arial" w:hAnsi="Arial"/>
          <w:color w:val="0F172A"/>
          <w:sz w:val="22"/>
          <w:szCs w:val="22"/>
        </w:rPr>
        <w:t xml:space="preserve">A new tenant has zero days of measured depletion at onboarding completion. Method C needs ~60–90 days of history to extract decent seasonality. Without a cold-start strategy, the trial period (14 days, locked at v5 §9) shows owners a degraded forecast — exactly when conversion happens.</w:t>
      </w:r>
    </w:p>
    <w:p>
      <w:pPr>
        <w:spacing w:after="80" w:before="80" w:line="300"/>
      </w:pPr>
      <w:r>
        <w:rPr>
          <w:rFonts w:ascii="Arial" w:cs="Arial" w:eastAsia="Arial" w:hAnsi="Arial"/>
          <w:color w:val="0F172A"/>
          <w:sz w:val="22"/>
          <w:szCs w:val="22"/>
        </w:rPr>
        <w:t xml:space="preserve">Locked: bootstrap from 12 months of pre-onboarding POS history. On Day 0, the system pulls trailing 12 months of sales data via the POS provider's historical API (already authorized at OAuth completion in Step 3B), back-calculates depletion using the placeholder recipes from Step 4 (declared yields), backfills weather and event history for the same 12-month window, and runs Method C immediately on this synthetic depletion history.</w:t>
      </w:r>
    </w:p>
    <w:p>
      <w:pPr>
        <w:spacing w:after="80" w:before="80" w:line="300"/>
      </w:pPr>
      <w:r>
        <w:rPr>
          <w:rFonts w:ascii="Arial" w:cs="Arial" w:eastAsia="Arial" w:hAnsi="Arial"/>
          <w:color w:val="0F172A"/>
          <w:sz w:val="22"/>
          <w:szCs w:val="22"/>
        </w:rPr>
        <w:t xml:space="preserve">Trial-period forecasts are explicitly labeled "calibrating" with confidence intervals widened to reflect declared-yield uncertainty. At day 14, measured yields land per v5 §6.2, the "calibrating" label drops, and confidence intervals tighten. This satisfies the accuracy principle (forecasts are real and based on real data) while communicating uncertainty honestly.</w:t>
      </w:r>
    </w:p>
    <w:p>
      <w:pPr>
        <w:pStyle w:val="Heading2"/>
        <w:spacing w:after="120" w:before="280"/>
      </w:pPr>
      <w:r>
        <w:rPr>
          <w:rFonts w:ascii="Arial" w:cs="Arial" w:eastAsia="Arial" w:hAnsi="Arial"/>
          <w:b/>
          <w:bCs/>
          <w:color w:val="0F172A"/>
          <w:sz w:val="28"/>
          <w:szCs w:val="28"/>
        </w:rPr>
        <w:t xml:space="preserve">7.5 Bootstrap timing</w:t>
      </w:r>
    </w:p>
    <w:p>
      <w:pPr>
        <w:spacing w:after="80" w:before="80" w:line="300"/>
      </w:pPr>
      <w:r>
        <w:rPr>
          <w:rFonts w:ascii="Arial" w:cs="Arial" w:eastAsia="Arial" w:hAnsi="Arial"/>
          <w:color w:val="0F172A"/>
          <w:sz w:val="22"/>
          <w:szCs w:val="22"/>
        </w:rPr>
        <w:t xml:space="preserve">Bootstrap runs as a background job after onboarding completes. Pulling 12 months of Clover history takes ~2–3 hours; weather and event backfill add minutes. The first forecast is available by the next 2am tenant-local agent run. v5 §9 already locked that the trial clock starts on first agent run, which gives natural buffer between onboarding completion and first forecast.</w:t>
      </w:r>
    </w:p>
    <w:p>
      <w:pPr>
        <w:pStyle w:val="Heading2"/>
        <w:spacing w:after="120" w:before="280"/>
      </w:pPr>
      <w:r>
        <w:rPr>
          <w:rFonts w:ascii="Arial" w:cs="Arial" w:eastAsia="Arial" w:hAnsi="Arial"/>
          <w:b/>
          <w:bCs/>
          <w:color w:val="0F172A"/>
          <w:sz w:val="28"/>
          <w:szCs w:val="28"/>
        </w:rPr>
        <w:t xml:space="preserve">7.6 Engineering investment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rPr>
          <w:tblHeader/>
        </w:trPr>
        <w:tc>
          <w:tcPr>
            <w:tcW w:type="dxa" w:w="65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Workstream</w:t>
            </w:r>
          </w:p>
        </w:tc>
        <w:tc>
          <w:tcPr>
            <w:tcW w:type="dxa" w:w="286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Estimate</w:t>
            </w:r>
          </w:p>
        </w:tc>
      </w:tr>
      <w:tr>
        <w:tc>
          <w:tcPr>
            <w:tcW w:type="dxa" w:w="6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Method C decomposition core (trend + weekly + holidays)</w:t>
            </w:r>
          </w:p>
        </w:tc>
        <w:tc>
          <w:tcPr>
            <w:tcW w:type="dxa" w:w="28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3–4 weeks</w:t>
            </w:r>
          </w:p>
        </w:tc>
      </w:tr>
      <w:tr>
        <w:tc>
          <w:tcPr>
            <w:tcW w:type="dxa" w:w="6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Weather integration (Open-Meteo + backfill + regressor)</w:t>
            </w:r>
          </w:p>
        </w:tc>
        <w:tc>
          <w:tcPr>
            <w:tcW w:type="dxa" w:w="28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2–3 weeks</w:t>
            </w:r>
          </w:p>
        </w:tc>
      </w:tr>
      <w:tr>
        <w:tc>
          <w:tcPr>
            <w:tcW w:type="dxa" w:w="6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Ticketmaster integration (API + venue radius + capacity weighting + ToU compliance)</w:t>
            </w:r>
          </w:p>
        </w:tc>
        <w:tc>
          <w:tcPr>
            <w:tcW w:type="dxa" w:w="28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1–2 weeks</w:t>
            </w:r>
          </w:p>
        </w:tc>
      </w:tr>
      <w:tr>
        <w:tc>
          <w:tcPr>
            <w:tcW w:type="dxa" w:w="6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Calendarific + canada-holidays.ca integration</w:t>
            </w:r>
          </w:p>
        </w:tc>
        <w:tc>
          <w:tcPr>
            <w:tcW w:type="dxa" w:w="28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2–3 days</w:t>
            </w:r>
          </w:p>
        </w:tc>
      </w:tr>
      <w:tr>
        <w:tc>
          <w:tcPr>
            <w:tcW w:type="dxa" w:w="6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Validation, backtesting, confidence interval engineering</w:t>
            </w:r>
          </w:p>
        </w:tc>
        <w:tc>
          <w:tcPr>
            <w:tcW w:type="dxa" w:w="28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1–2 weeks</w:t>
            </w:r>
          </w:p>
        </w:tc>
      </w:tr>
      <w:tr>
        <w:tc>
          <w:tcPr>
            <w:tcW w:type="dxa" w:w="6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Cross-POS historical sales pull (additive to v5 §4.3 base estimates)</w:t>
            </w:r>
          </w:p>
        </w:tc>
        <w:tc>
          <w:tcPr>
            <w:tcW w:type="dxa" w:w="28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10–15 days</w:t>
            </w:r>
          </w:p>
        </w:tc>
      </w:tr>
      <w:tr>
        <w:tc>
          <w:tcPr>
            <w:tcW w:type="dxa" w:w="6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Total forecast engine v1</w:t>
            </w:r>
          </w:p>
        </w:tc>
        <w:tc>
          <w:tcPr>
            <w:tcW w:type="dxa" w:w="28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~8–10 weeks</w:t>
            </w:r>
          </w:p>
        </w:tc>
      </w:tr>
    </w:tbl>
    <w:p>
      <w:pPr>
        <w:pStyle w:val="Heading2"/>
        <w:spacing w:after="120" w:before="280"/>
      </w:pPr>
      <w:r>
        <w:rPr>
          <w:rFonts w:ascii="Arial" w:cs="Arial" w:eastAsia="Arial" w:hAnsi="Arial"/>
          <w:b/>
          <w:bCs/>
          <w:color w:val="0F172A"/>
          <w:sz w:val="28"/>
          <w:szCs w:val="28"/>
        </w:rPr>
        <w:t xml:space="preserve">7.7 Round 5 lock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6300"/>
        <w:gridCol w:w="2280"/>
      </w:tblGrid>
      <w:tr>
        <w:trPr>
          <w:tblHeader/>
        </w:trPr>
        <w:tc>
          <w:tcPr>
            <w:tcW w:type="dxa" w:w="78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w:t>
            </w:r>
          </w:p>
        </w:tc>
        <w:tc>
          <w:tcPr>
            <w:tcW w:type="dxa" w:w="63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Decision</w:t>
            </w:r>
          </w:p>
        </w:tc>
        <w:tc>
          <w:tcPr>
            <w:tcW w:type="dxa" w:w="228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Status</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5.1</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Forecast horizon: 14 days, uniform across all ingredients.</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5.2</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Timeline UI shows 14 days (rendering details deferred to Dashboard architecture workstream).</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5.3</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Guiding principle: forecast engine optimizes for accuracy and confidence, not simplicity or speed.</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5.4</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Confidence intervals are first-class output (not just point estimates).</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5.5</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Forecast quality is upstream of buyer-power features (Moat Layer 4, v5 §22).</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1E40AF"/>
                <w:sz w:val="20"/>
                <w:szCs w:val="20"/>
              </w:rPr>
              <w:t xml:space="preserve">Logged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5.6</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Hourly granularity during tenant business hours, no projection off-hours.</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5.7</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Auto-degrade rule: ingredients with &lt;1 unit/business-day average depletion (trailing 14d) forecast at daily granularity instead of hourly.</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5.8</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Business hours sourced from v5 §30.1.</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1E40AF"/>
                <w:sz w:val="20"/>
                <w:szCs w:val="20"/>
              </w:rPr>
              <w:t xml:space="preserve">Logged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5.9</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Forecast method: Method C decomposition (trend + weekly + holidays + weather + events) for v1.</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5.10</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Holiday sources: canada-holidays.ca (free, provincial-aware) + Calendarific ($100/year, religious + international).</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5.11</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Weather: Open-Meteo (free, 16-day forecast, hourly, geocoded from §30.1 address).</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5.12</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Events: Ticketmaster Discovery API for major-venue concerts/sports/theatre within radius of restaurant.</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 ToU clearance required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5.13</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Engineering estimate: ~8–10 weeks for full forecast engine v1.</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1E40AF"/>
                <w:sz w:val="20"/>
                <w:szCs w:val="20"/>
              </w:rPr>
              <w:t xml:space="preserve">Logged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5.14</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Risk: Ticketmaster ToU clearance must be obtained before code-complete. Owner: Vito (lawyer + partnerships email this week). Fallback: drop Ticketmaster, ship C+W, add events Phase 2.</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B45309"/>
                <w:sz w:val="20"/>
                <w:szCs w:val="20"/>
              </w:rPr>
              <w:t xml:space="preserve">Tracked risk, owner assigned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5.15</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Open: launch sequencing — all signals on day 1 vs phased rollout. Defer to closer to launch.</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9A3412"/>
                <w:sz w:val="20"/>
                <w:szCs w:val="20"/>
              </w:rPr>
              <w:t xml:space="preserve">Open</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5.16</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Cold-start strategy: bootstrap from 12 months of pre-onboarding POS history; backfill weather and events for same period; run Method C immediately on synthetic depletion derived from declared yields.</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5.17</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Trial-period forecasts explicitly labeled "calibrating" with honest confidence intervals reflecting declared-yield uncertainty. Label drops at day 14 when measured yields land.</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5.18</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Bootstrap runs as background job after onboarding completes; first forecast available by next 2am tenant-local agent run.</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5.19</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Per-POS engineering: ~2-3 days extra per provider for historical sales pull. Cross-POS total: ~10-15 days additive to v5 §4.3 base estimates.</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1E40AF"/>
                <w:sz w:val="20"/>
                <w:szCs w:val="20"/>
              </w:rPr>
              <w:t xml:space="preserve">Logged</w:t>
            </w:r>
          </w:p>
        </w:tc>
      </w:tr>
    </w:tbl>
    <w:p>
      <w:r>
        <w:br w:type="page"/>
      </w:r>
    </w:p>
    <w:p>
      <w:pPr>
        <w:pStyle w:val="Heading1"/>
        <w:spacing w:after="160" w:before="360"/>
      </w:pPr>
      <w:r>
        <w:rPr>
          <w:rFonts w:ascii="Arial" w:cs="Arial" w:eastAsia="Arial" w:hAnsi="Arial"/>
          <w:b/>
          <w:bCs/>
          <w:color w:val="0F172A"/>
          <w:sz w:val="36"/>
          <w:szCs w:val="36"/>
        </w:rPr>
        <w:t xml:space="preserve">13. Cross-cutting principles locked across rounds</w:t>
      </w:r>
    </w:p>
    <w:p>
      <w:pPr>
        <w:spacing w:after="80" w:before="80" w:line="300"/>
      </w:pPr>
      <w:r>
        <w:rPr>
          <w:rFonts w:ascii="Arial" w:cs="Arial" w:eastAsia="Arial" w:hAnsi="Arial"/>
          <w:color w:val="0F172A"/>
          <w:sz w:val="22"/>
          <w:szCs w:val="22"/>
        </w:rPr>
        <w:t xml:space="preserve">Five principles emerged as load-bearing across multiple rounds. They constrain decisions in Round 6 and beyond.</w:t>
      </w:r>
    </w:p>
    <w:p>
      <w:pPr>
        <w:pStyle w:val="Heading2"/>
        <w:spacing w:after="120" w:before="280"/>
      </w:pPr>
      <w:r>
        <w:rPr>
          <w:rFonts w:ascii="Arial" w:cs="Arial" w:eastAsia="Arial" w:hAnsi="Arial"/>
          <w:b/>
          <w:bCs/>
          <w:color w:val="0F172A"/>
          <w:sz w:val="28"/>
          <w:szCs w:val="28"/>
        </w:rPr>
        <w:t xml:space="preserve">13.1 Determinism through the forecast pipeline</w:t>
      </w:r>
    </w:p>
    <w:p>
      <w:pPr>
        <w:spacing w:after="80" w:before="80" w:line="300"/>
      </w:pPr>
      <w:r>
        <w:rPr>
          <w:rFonts w:ascii="Arial" w:cs="Arial" w:eastAsia="Arial" w:hAnsi="Arial"/>
          <w:color w:val="0F172A"/>
          <w:sz w:val="22"/>
          <w:szCs w:val="22"/>
        </w:rPr>
        <w:t xml:space="preserve">Forecast math, PO drafting, and reasoning trace are all deterministic. Same inputs produce the same outputs every run. LLM use is constrained to surfaces locked in v5; the forecast/PO loop is the explicit carve-out. (Round 2.)</w:t>
      </w:r>
    </w:p>
    <w:p>
      <w:pPr>
        <w:pStyle w:val="Heading2"/>
        <w:spacing w:after="120" w:before="280"/>
      </w:pPr>
      <w:r>
        <w:rPr>
          <w:rFonts w:ascii="Arial" w:cs="Arial" w:eastAsia="Arial" w:hAnsi="Arial"/>
          <w:b/>
          <w:bCs/>
          <w:color w:val="0F172A"/>
          <w:sz w:val="28"/>
          <w:szCs w:val="28"/>
        </w:rPr>
        <w:t xml:space="preserve">13.2 Accuracy is the binding constraint</w:t>
      </w:r>
    </w:p>
    <w:p>
      <w:pPr>
        <w:spacing w:after="80" w:before="80" w:line="300"/>
      </w:pPr>
      <w:r>
        <w:rPr>
          <w:rFonts w:ascii="Arial" w:cs="Arial" w:eastAsia="Arial" w:hAnsi="Arial"/>
          <w:color w:val="0F172A"/>
          <w:sz w:val="22"/>
          <w:szCs w:val="22"/>
        </w:rPr>
        <w:t xml:space="preserve">When trade-offs surface between simplicity, speed, and accuracy, accuracy wins. Compute cost is not binding at v1 scale. This drove Method C selection over Methods A and B, and drove Open-Meteo + Ticketmaster inclusion. (Round 5.)</w:t>
      </w:r>
    </w:p>
    <w:p>
      <w:pPr>
        <w:pStyle w:val="Heading2"/>
        <w:spacing w:after="120" w:before="280"/>
      </w:pPr>
      <w:r>
        <w:rPr>
          <w:rFonts w:ascii="Arial" w:cs="Arial" w:eastAsia="Arial" w:hAnsi="Arial"/>
          <w:b/>
          <w:bCs/>
          <w:color w:val="0F172A"/>
          <w:sz w:val="28"/>
          <w:szCs w:val="28"/>
        </w:rPr>
        <w:t xml:space="preserve">13.3 Two artifacts, never one</w:t>
      </w:r>
    </w:p>
    <w:p>
      <w:pPr>
        <w:spacing w:after="80" w:before="80" w:line="300"/>
      </w:pPr>
      <w:r>
        <w:rPr>
          <w:rFonts w:ascii="Arial" w:cs="Arial" w:eastAsia="Arial" w:hAnsi="Arial"/>
          <w:color w:val="0F172A"/>
          <w:sz w:val="22"/>
          <w:szCs w:val="22"/>
        </w:rPr>
        <w:t xml:space="preserve">Forecast outputs are two artifacts (timeline + PO), each canonical for a different question. The dashboard, Variance Report, and Orders page must respect this split — neither artifact is downstream of the other. (Round 1.)</w:t>
      </w:r>
    </w:p>
    <w:p>
      <w:pPr>
        <w:pStyle w:val="Heading2"/>
        <w:spacing w:after="120" w:before="280"/>
      </w:pPr>
      <w:r>
        <w:rPr>
          <w:rFonts w:ascii="Arial" w:cs="Arial" w:eastAsia="Arial" w:hAnsi="Arial"/>
          <w:b/>
          <w:bCs/>
          <w:color w:val="0F172A"/>
          <w:sz w:val="28"/>
          <w:szCs w:val="28"/>
        </w:rPr>
        <w:t xml:space="preserve">13.4 Independent learning signals with non-overlapping parameter ownership</w:t>
      </w:r>
    </w:p>
    <w:p>
      <w:pPr>
        <w:spacing w:after="80" w:before="80" w:line="300"/>
      </w:pPr>
      <w:r>
        <w:rPr>
          <w:rFonts w:ascii="Arial" w:cs="Arial" w:eastAsia="Arial" w:hAnsi="Arial"/>
          <w:color w:val="0F172A"/>
          <w:sz w:val="22"/>
          <w:szCs w:val="22"/>
        </w:rPr>
        <w:t xml:space="preserve">Yield learning and PO feedback never edit the same parameter. This makes the Variance Report debuggable and prevents two systems from correcting the same problem twice. Any future learning signal added to the architecture must follow the same partition rule. (Round 3.)</w:t>
      </w:r>
    </w:p>
    <w:p>
      <w:pPr>
        <w:pStyle w:val="Heading2"/>
        <w:spacing w:after="120" w:before="280"/>
      </w:pPr>
      <w:r>
        <w:rPr>
          <w:rFonts w:ascii="Arial" w:cs="Arial" w:eastAsia="Arial" w:hAnsi="Arial"/>
          <w:b/>
          <w:bCs/>
          <w:color w:val="0F172A"/>
          <w:sz w:val="28"/>
          <w:szCs w:val="28"/>
        </w:rPr>
        <w:t xml:space="preserve">13.5 Owner agency over notifications</w:t>
      </w:r>
    </w:p>
    <w:p>
      <w:pPr>
        <w:spacing w:after="80" w:before="80" w:line="300"/>
      </w:pPr>
      <w:r>
        <w:rPr>
          <w:rFonts w:ascii="Arial" w:cs="Arial" w:eastAsia="Arial" w:hAnsi="Arial"/>
          <w:color w:val="0F172A"/>
          <w:sz w:val="22"/>
          <w:szCs w:val="22"/>
        </w:rPr>
        <w:t xml:space="preserve">The system asks; the owner decides. No paternalistic batching, hiding, or attention management on the owner's behalf. Skipped prompts cost the owner forecast quality, which is the right incentive structure. (Round 4.)</w:t>
      </w:r>
    </w:p>
    <w:p>
      <w:pPr>
        <w:pStyle w:val="Heading2"/>
        <w:spacing w:after="120" w:before="280"/>
      </w:pPr>
      <w:r>
        <w:rPr>
          <w:rFonts w:ascii="Arial" w:cs="Arial" w:eastAsia="Arial" w:hAnsi="Arial"/>
          <w:b/>
          <w:bCs/>
          <w:color w:val="0F172A"/>
          <w:sz w:val="28"/>
          <w:szCs w:val="28"/>
        </w:rPr>
        <w:t xml:space="preserve">13.6 Owner agency extends to receiving — no hard gates</w:t>
      </w:r>
    </w:p>
    <w:p>
      <w:pPr>
        <w:spacing w:after="80" w:before="80" w:line="300"/>
      </w:pPr>
      <w:r>
        <w:rPr>
          <w:rFonts w:ascii="Arial" w:cs="Arial" w:eastAsia="Arial" w:hAnsi="Arial"/>
          <w:color w:val="0F172A"/>
          <w:sz w:val="22"/>
          <w:szCs w:val="22"/>
        </w:rPr>
        <w:t xml:space="preserve">The system surfaces strongly when receipts are unrecorded (notifications, Orders page priority, non-dismissible Dashboard card), but does not gate the rest of the product. Hard app freezes or modal lockouts are explicitly out of scope. The owner can always see their forecasts, draft POs, do shift-close, and use every other surface even when a receipt is pending. (Round 6a, Lock 6.9.)</w:t>
      </w:r>
    </w:p>
    <w:p>
      <w:pPr>
        <w:pStyle w:val="Heading2"/>
        <w:spacing w:after="120" w:before="280"/>
      </w:pPr>
      <w:r>
        <w:rPr>
          <w:rFonts w:ascii="Arial" w:cs="Arial" w:eastAsia="Arial" w:hAnsi="Arial"/>
          <w:b/>
          <w:bCs/>
          <w:color w:val="0F172A"/>
          <w:sz w:val="28"/>
          <w:szCs w:val="28"/>
        </w:rPr>
        <w:t xml:space="preserve">13.7 The unified ledger pattern for inventory mutations</w:t>
      </w:r>
    </w:p>
    <w:p>
      <w:pPr>
        <w:spacing w:after="80" w:before="80" w:line="300"/>
      </w:pPr>
      <w:r>
        <w:rPr>
          <w:rFonts w:ascii="Arial" w:cs="Arial" w:eastAsia="Arial" w:hAnsi="Arial"/>
          <w:color w:val="0F172A"/>
          <w:sz w:val="22"/>
          <w:szCs w:val="22"/>
        </w:rPr>
        <w:t xml:space="preserve">Every inventory mutation in the system writes a row to inventory_movements with a typed movement_type. No direct UPDATE statements on inventory_items.current_quantity from anywhere in the codebase. Inventory is the materialized view; movements are the source of truth. This makes the Variance Report always debuggable, the audit log always complete, and any "the inventory says X but I think it should be Y" question answerable by walking the movement history. (Round 6c, Lock 6.32.)</w:t>
      </w:r>
    </w:p>
    <w:p>
      <w:pPr>
        <w:pStyle w:val="Heading2"/>
        <w:spacing w:after="120" w:before="280"/>
      </w:pPr>
      <w:r>
        <w:rPr>
          <w:rFonts w:ascii="Arial" w:cs="Arial" w:eastAsia="Arial" w:hAnsi="Arial"/>
          <w:b/>
          <w:bCs/>
          <w:color w:val="0F172A"/>
          <w:sz w:val="28"/>
          <w:szCs w:val="28"/>
        </w:rPr>
        <w:t xml:space="preserve">13.8 The determinism boundary in the agent architecture</w:t>
      </w:r>
    </w:p>
    <w:p>
      <w:pPr>
        <w:spacing w:after="80" w:before="80" w:line="300"/>
      </w:pPr>
      <w:r>
        <w:rPr>
          <w:rFonts w:ascii="Arial" w:cs="Arial" w:eastAsia="Arial" w:hAnsi="Arial"/>
          <w:color w:val="0F172A"/>
          <w:sz w:val="22"/>
          <w:szCs w:val="22"/>
        </w:rPr>
        <w:t xml:space="preserve">The agent operates in two layers. The nightly batch (2am) runs the deterministic forecast pipeline — heavy work, deterministic by Lock 2.1. Synchronous handlers run on real-time events but only do simple deterministic state mutations — no forecast math, no LLM, no PO drafting. Lock 2.1 holds at both layers because the boundary between them is the boundary between "complex deterministic" and "simple deterministic." (Round 6d, Lock 6.49.)</w:t>
      </w:r>
    </w:p>
    <w:p>
      <w:pPr>
        <w:pStyle w:val="Heading2"/>
        <w:spacing w:after="120" w:before="280"/>
      </w:pPr>
      <w:r>
        <w:rPr>
          <w:rFonts w:ascii="Arial" w:cs="Arial" w:eastAsia="Arial" w:hAnsi="Arial"/>
          <w:b/>
          <w:bCs/>
          <w:color w:val="0F172A"/>
          <w:sz w:val="28"/>
          <w:szCs w:val="28"/>
        </w:rPr>
        <w:t xml:space="preserve">13.9 LLM at input boundaries, never at write boundaries</w:t>
      </w:r>
    </w:p>
    <w:p>
      <w:pPr>
        <w:spacing w:after="80" w:before="80" w:line="300"/>
      </w:pPr>
      <w:r>
        <w:rPr>
          <w:rFonts w:ascii="Arial" w:cs="Arial" w:eastAsia="Arial" w:hAnsi="Arial"/>
          <w:color w:val="0F172A"/>
          <w:sz w:val="22"/>
          <w:szCs w:val="22"/>
        </w:rPr>
        <w:t xml:space="preserve">Photo-first receiving uses LLM extraction to pre-fill the receipt form, but the owner-confirmed structured form is what mutates inventory. The LLM never writes to inventory directly. This generalizes: LLM use is permitted at UI input boundaries (pre-filling, normalizing, suggesting) but never at data-mutation boundaries inside the depletion loop. (Round 6b, Lock 6.16.)</w:t>
      </w:r>
    </w:p>
    <w:p>
      <w:r>
        <w:br w:type="page"/>
      </w:r>
    </w:p>
    <w:p>
      <w:pPr>
        <w:pStyle w:val="Heading1"/>
        <w:spacing w:after="160" w:before="360"/>
      </w:pPr>
      <w:r>
        <w:rPr>
          <w:rFonts w:ascii="Arial" w:cs="Arial" w:eastAsia="Arial" w:hAnsi="Arial"/>
          <w:b/>
          <w:bCs/>
          <w:color w:val="0F172A"/>
          <w:sz w:val="36"/>
          <w:szCs w:val="36"/>
        </w:rPr>
        <w:t xml:space="preserve">14. The depletion loop status board</w:t>
      </w:r>
    </w:p>
    <w:p>
      <w:pPr>
        <w:spacing w:after="80" w:before="80" w:line="300"/>
      </w:pPr>
      <w:r>
        <w:rPr>
          <w:rFonts w:ascii="Arial" w:cs="Arial" w:eastAsia="Arial" w:hAnsi="Arial"/>
          <w:color w:val="0F172A"/>
          <w:sz w:val="22"/>
          <w:szCs w:val="22"/>
        </w:rPr>
        <w:t xml:space="preserve">From v5 §33.4. Updated to reflect what's been closed across architecture Rounds 1–6. The full depletion loop is now spec-complete.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2700"/>
        <w:gridCol w:w="2060"/>
      </w:tblGrid>
      <w:tr>
        <w:trPr>
          <w:tblHeader/>
        </w:trPr>
        <w:tc>
          <w:tcPr>
            <w:tcW w:type="dxa" w:w="6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Step</w:t>
            </w:r>
          </w:p>
        </w:tc>
        <w:tc>
          <w:tcPr>
            <w:tcW w:type="dxa" w:w="40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What happens</w:t>
            </w:r>
          </w:p>
        </w:tc>
        <w:tc>
          <w:tcPr>
            <w:tcW w:type="dxa" w:w="27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Where it's specified</w:t>
            </w:r>
          </w:p>
        </w:tc>
        <w:tc>
          <w:tcPr>
            <w:tcW w:type="dxa" w:w="206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Status</w:t>
            </w:r>
          </w:p>
        </w:tc>
      </w:tr>
      <w:tr>
        <w:tc>
          <w:tcPr>
            <w:tcW w:type="dxa" w:w="6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w:t>
            </w:r>
          </w:p>
        </w:tc>
        <w:tc>
          <w:tcPr>
            <w:tcW w:type="dxa" w:w="4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POS webhook fires on sale</w:t>
            </w:r>
          </w:p>
        </w:tc>
        <w:tc>
          <w:tcPr>
            <w:tcW w:type="dxa" w:w="27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v5 §4.2</w:t>
            </w:r>
          </w:p>
        </w:tc>
        <w:tc>
          <w:tcPr>
            <w:tcW w:type="dxa" w:w="20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Closed</w:t>
            </w:r>
          </w:p>
        </w:tc>
      </w:tr>
      <w:tr>
        <w:tc>
          <w:tcPr>
            <w:tcW w:type="dxa" w:w="6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2</w:t>
            </w:r>
          </w:p>
        </w:tc>
        <w:tc>
          <w:tcPr>
            <w:tcW w:type="dxa" w:w="4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System looks up the recipe for the menu item sold</w:t>
            </w:r>
          </w:p>
        </w:tc>
        <w:tc>
          <w:tcPr>
            <w:tcW w:type="dxa" w:w="27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v5 §6.1</w:t>
            </w:r>
          </w:p>
        </w:tc>
        <w:tc>
          <w:tcPr>
            <w:tcW w:type="dxa" w:w="20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Closed</w:t>
            </w:r>
          </w:p>
        </w:tc>
      </w:tr>
      <w:tr>
        <w:tc>
          <w:tcPr>
            <w:tcW w:type="dxa" w:w="6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3</w:t>
            </w:r>
          </w:p>
        </w:tc>
        <w:tc>
          <w:tcPr>
            <w:tcW w:type="dxa" w:w="4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System decrements inventory by recipe's per-unit yield</w:t>
            </w:r>
          </w:p>
        </w:tc>
        <w:tc>
          <w:tcPr>
            <w:tcW w:type="dxa" w:w="27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v5 §6.2 + Lock 6.46</w:t>
            </w:r>
          </w:p>
        </w:tc>
        <w:tc>
          <w:tcPr>
            <w:tcW w:type="dxa" w:w="20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Closed</w:t>
            </w:r>
          </w:p>
        </w:tc>
      </w:tr>
      <w:tr>
        <w:tc>
          <w:tcPr>
            <w:tcW w:type="dxa" w:w="6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4</w:t>
            </w:r>
          </w:p>
        </w:tc>
        <w:tc>
          <w:tcPr>
            <w:tcW w:type="dxa" w:w="4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Yield source: declared (Step 4) until measured (shift-close 14 days)</w:t>
            </w:r>
          </w:p>
        </w:tc>
        <w:tc>
          <w:tcPr>
            <w:tcW w:type="dxa" w:w="27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v5 §6.2</w:t>
            </w:r>
          </w:p>
        </w:tc>
        <w:tc>
          <w:tcPr>
            <w:tcW w:type="dxa" w:w="20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Closed</w:t>
            </w:r>
          </w:p>
        </w:tc>
      </w:tr>
      <w:tr>
        <w:tc>
          <w:tcPr>
            <w:tcW w:type="dxa" w:w="6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5</w:t>
            </w:r>
          </w:p>
        </w:tc>
        <w:tc>
          <w:tcPr>
            <w:tcW w:type="dxa" w:w="4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Forecast engine runs nightly at 2am tenant local</w:t>
            </w:r>
          </w:p>
        </w:tc>
        <w:tc>
          <w:tcPr>
            <w:tcW w:type="dxa" w:w="27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v5 §4.2 + Lock 6.45</w:t>
            </w:r>
          </w:p>
        </w:tc>
        <w:tc>
          <w:tcPr>
            <w:tcW w:type="dxa" w:w="20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Closed</w:t>
            </w:r>
          </w:p>
        </w:tc>
      </w:tr>
      <w:tr>
        <w:tc>
          <w:tcPr>
            <w:tcW w:type="dxa" w:w="6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6</w:t>
            </w:r>
          </w:p>
        </w:tc>
        <w:tc>
          <w:tcPr>
            <w:tcW w:type="dxa" w:w="4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Forecast engine projects when each ingredient hits reorder threshold</w:t>
            </w:r>
          </w:p>
        </w:tc>
        <w:tc>
          <w:tcPr>
            <w:tcW w:type="dxa" w:w="27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Arch Round 5</w:t>
            </w:r>
          </w:p>
        </w:tc>
        <w:tc>
          <w:tcPr>
            <w:tcW w:type="dxa" w:w="20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Closed</w:t>
            </w:r>
          </w:p>
        </w:tc>
      </w:tr>
      <w:tr>
        <w:tc>
          <w:tcPr>
            <w:tcW w:type="dxa" w:w="6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7</w:t>
            </w:r>
          </w:p>
        </w:tc>
        <w:tc>
          <w:tcPr>
            <w:tcW w:type="dxa" w:w="4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Agent drafts PO grouped by supplier (batched)</w:t>
            </w:r>
          </w:p>
        </w:tc>
        <w:tc>
          <w:tcPr>
            <w:tcW w:type="dxa" w:w="27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Arch Rounds 1–5</w:t>
            </w:r>
          </w:p>
        </w:tc>
        <w:tc>
          <w:tcPr>
            <w:tcW w:type="dxa" w:w="20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Closed</w:t>
            </w:r>
          </w:p>
        </w:tc>
      </w:tr>
      <w:tr>
        <w:tc>
          <w:tcPr>
            <w:tcW w:type="dxa" w:w="6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7.5</w:t>
            </w:r>
          </w:p>
        </w:tc>
        <w:tc>
          <w:tcPr>
            <w:tcW w:type="dxa" w:w="4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PO feedback loop calibrates ordering parameters</w:t>
            </w:r>
          </w:p>
        </w:tc>
        <w:tc>
          <w:tcPr>
            <w:tcW w:type="dxa" w:w="27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Arch Rounds 3–4</w:t>
            </w:r>
          </w:p>
        </w:tc>
        <w:tc>
          <w:tcPr>
            <w:tcW w:type="dxa" w:w="20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Closed</w:t>
            </w:r>
          </w:p>
        </w:tc>
      </w:tr>
      <w:tr>
        <w:tc>
          <w:tcPr>
            <w:tcW w:type="dxa" w:w="6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8</w:t>
            </w:r>
          </w:p>
        </w:tc>
        <w:tc>
          <w:tcPr>
            <w:tcW w:type="dxa" w:w="4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Owner reviews and approves with PIN</w:t>
            </w:r>
          </w:p>
        </w:tc>
        <w:tc>
          <w:tcPr>
            <w:tcW w:type="dxa" w:w="27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v5 §31 + multi-channel §21</w:t>
            </w:r>
          </w:p>
        </w:tc>
        <w:tc>
          <w:tcPr>
            <w:tcW w:type="dxa" w:w="20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Closed</w:t>
            </w:r>
          </w:p>
        </w:tc>
      </w:tr>
      <w:tr>
        <w:tc>
          <w:tcPr>
            <w:tcW w:type="dxa" w:w="6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9</w:t>
            </w:r>
          </w:p>
        </w:tc>
        <w:tc>
          <w:tcPr>
            <w:tcW w:type="dxa" w:w="4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PO dispatched to supplier</w:t>
            </w:r>
          </w:p>
        </w:tc>
        <w:tc>
          <w:tcPr>
            <w:tcW w:type="dxa" w:w="27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v5 §21</w:t>
            </w:r>
          </w:p>
        </w:tc>
        <w:tc>
          <w:tcPr>
            <w:tcW w:type="dxa" w:w="20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Closed</w:t>
            </w:r>
          </w:p>
        </w:tc>
      </w:tr>
      <w:tr>
        <w:tc>
          <w:tcPr>
            <w:tcW w:type="dxa" w:w="6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10</w:t>
            </w:r>
          </w:p>
        </w:tc>
        <w:tc>
          <w:tcPr>
            <w:tcW w:type="dxa" w:w="4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Supplier delivers; owner records receipt (photo-first or manual; line-by-line review; summary confirm)</w:t>
            </w:r>
          </w:p>
        </w:tc>
        <w:tc>
          <w:tcPr>
            <w:tcW w:type="dxa" w:w="27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Arch Round 6a + 6b</w:t>
            </w:r>
          </w:p>
        </w:tc>
        <w:tc>
          <w:tcPr>
            <w:tcW w:type="dxa" w:w="20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Closed</w:t>
            </w:r>
          </w:p>
        </w:tc>
      </w:tr>
      <w:tr>
        <w:tc>
          <w:tcPr>
            <w:tcW w:type="dxa" w:w="6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w:t>
            </w:r>
          </w:p>
        </w:tc>
        <w:tc>
          <w:tcPr>
            <w:tcW w:type="dxa" w:w="4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Inventory incremented based on physical receipt (atomic write to receipts + receipt_lines + inventory_movements)</w:t>
            </w:r>
          </w:p>
        </w:tc>
        <w:tc>
          <w:tcPr>
            <w:tcW w:type="dxa" w:w="27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Arch Round 6c</w:t>
            </w:r>
          </w:p>
        </w:tc>
        <w:tc>
          <w:tcPr>
            <w:tcW w:type="dxa" w:w="20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Closed</w:t>
            </w:r>
          </w:p>
        </w:tc>
      </w:tr>
    </w:tbl>
    <w:p>
      <w:r>
        <w:br w:type="page"/>
      </w:r>
    </w:p>
    <w:p>
      <w:pPr>
        <w:pStyle w:val="Heading1"/>
        <w:spacing w:after="160" w:before="360"/>
      </w:pPr>
      <w:r>
        <w:rPr>
          <w:rFonts w:ascii="Arial" w:cs="Arial" w:eastAsia="Arial" w:hAnsi="Arial"/>
          <w:b/>
          <w:bCs/>
          <w:color w:val="0F172A"/>
          <w:sz w:val="36"/>
          <w:szCs w:val="36"/>
        </w:rPr>
        <w:t xml:space="preserve">15. Tracked risks, watch items, and open questions</w:t>
      </w:r>
    </w:p>
    <w:p>
      <w:pPr>
        <w:pStyle w:val="Heading2"/>
        <w:spacing w:after="120" w:before="280"/>
      </w:pPr>
      <w:r>
        <w:rPr>
          <w:rFonts w:ascii="Arial" w:cs="Arial" w:eastAsia="Arial" w:hAnsi="Arial"/>
          <w:b/>
          <w:bCs/>
          <w:color w:val="0F172A"/>
          <w:sz w:val="28"/>
          <w:szCs w:val="28"/>
        </w:rPr>
        <w:t xml:space="preserve">10.1 Tracked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12"/>
              <w:left w:val="single" w:color="B91C1C" w:sz="12"/>
              <w:bottom w:val="single" w:color="B91C1C" w:sz="4"/>
              <w:right w:val="single" w:color="B91C1C" w:sz="4"/>
            </w:tcBorders>
            <w:shd w:fill="FEE2E2" w:val="clear"/>
            <w:tcMar>
              <w:top w:type="dxa" w:w="200"/>
              <w:left w:type="dxa" w:w="280"/>
              <w:bottom w:type="dxa" w:w="200"/>
              <w:right w:type="dxa" w:w="280"/>
            </w:tcMar>
          </w:tcPr>
          <w:p>
            <w:pPr>
              <w:spacing w:after="80" w:before="0" w:line="300"/>
            </w:pPr>
            <w:r>
              <w:rPr>
                <w:rFonts w:ascii="Arial" w:cs="Arial" w:eastAsia="Arial" w:hAnsi="Arial"/>
                <w:b/>
                <w:bCs/>
                <w:color w:val="0F172A"/>
                <w:sz w:val="22"/>
                <w:szCs w:val="22"/>
              </w:rPr>
              <w:t xml:space="preserve">RISK 1 — Ticketmaster Terms of Use clearance </w:t>
            </w:r>
          </w:p>
          <w:p>
            <w:pPr>
              <w:spacing w:after="80" w:before="80" w:line="300"/>
            </w:pPr>
            <w:r>
              <w:rPr>
                <w:rFonts w:ascii="Arial" w:cs="Arial" w:eastAsia="Arial" w:hAnsi="Arial"/>
                <w:color w:val="0F172A"/>
                <w:sz w:val="22"/>
                <w:szCs w:val="22"/>
              </w:rPr>
              <w:t xml:space="preserve"/>
            </w:r>
          </w:p>
          <w:p>
            <w:pPr>
              <w:spacing w:after="80" w:before="80" w:line="300"/>
            </w:pPr>
            <w:r>
              <w:rPr>
                <w:rFonts w:ascii="Arial" w:cs="Arial" w:eastAsia="Arial" w:hAnsi="Arial"/>
                <w:b/>
                <w:bCs/>
                <w:color w:val="0F172A"/>
                <w:sz w:val="22"/>
                <w:szCs w:val="22"/>
              </w:rPr>
              <w:t xml:space="preserve">Description: </w:t>
            </w:r>
            <w:r>
              <w:rPr>
                <w:rFonts w:ascii="Arial" w:cs="Arial" w:eastAsia="Arial" w:hAnsi="Arial"/>
                <w:color w:val="0F172A"/>
                <w:sz w:val="22"/>
                <w:szCs w:val="22"/>
              </w:rPr>
            </w:r>
          </w:p>
          <w:p>
            <w:pPr>
              <w:spacing w:after="80" w:before="80" w:line="300"/>
            </w:pPr>
            <w:r>
              <w:rPr>
                <w:rFonts w:ascii="Arial" w:cs="Arial" w:eastAsia="Arial" w:hAnsi="Arial"/>
                <w:color w:val="0F172A"/>
                <w:sz w:val="22"/>
                <w:szCs w:val="22"/>
              </w:rPr>
              <w:t xml:space="preserve"/>
            </w:r>
          </w:p>
          <w:p>
            <w:pPr>
              <w:spacing w:after="80" w:before="80" w:line="300"/>
            </w:pPr>
            <w:r>
              <w:rPr>
                <w:rFonts w:ascii="Arial" w:cs="Arial" w:eastAsia="Arial" w:hAnsi="Arial"/>
                <w:b/>
                <w:bCs/>
                <w:color w:val="0F172A"/>
                <w:sz w:val="22"/>
                <w:szCs w:val="22"/>
              </w:rPr>
              <w:t xml:space="preserve">Owner: </w:t>
            </w:r>
            <w:r>
              <w:rPr>
                <w:rFonts w:ascii="Arial" w:cs="Arial" w:eastAsia="Arial" w:hAnsi="Arial"/>
                <w:color w:val="0F172A"/>
                <w:sz w:val="22"/>
                <w:szCs w:val="22"/>
              </w:rPr>
            </w:r>
          </w:p>
          <w:p>
            <w:pPr>
              <w:spacing w:after="80" w:before="80" w:line="300"/>
            </w:pPr>
            <w:r>
              <w:rPr>
                <w:rFonts w:ascii="Arial" w:cs="Arial" w:eastAsia="Arial" w:hAnsi="Arial"/>
                <w:color w:val="0F172A"/>
                <w:sz w:val="22"/>
                <w:szCs w:val="22"/>
              </w:rPr>
              <w:t xml:space="preserve"/>
            </w:r>
          </w:p>
          <w:p>
            <w:pPr>
              <w:spacing w:after="80" w:before="80" w:line="300"/>
            </w:pPr>
            <w:r>
              <w:rPr>
                <w:rFonts w:ascii="Arial" w:cs="Arial" w:eastAsia="Arial" w:hAnsi="Arial"/>
                <w:b/>
                <w:bCs/>
                <w:color w:val="0F172A"/>
                <w:sz w:val="22"/>
                <w:szCs w:val="22"/>
              </w:rPr>
              <w:t xml:space="preserve">Resolution path: </w:t>
            </w:r>
            <w:r>
              <w:rPr>
                <w:rFonts w:ascii="Arial" w:cs="Arial" w:eastAsia="Arial" w:hAnsi="Arial"/>
                <w:color w:val="0F172A"/>
                <w:sz w:val="22"/>
                <w:szCs w:val="22"/>
              </w:rPr>
            </w:r>
          </w:p>
          <w:p>
            <w:pPr>
              <w:spacing w:after="80" w:before="80" w:line="300"/>
            </w:pPr>
            <w:r>
              <w:rPr>
                <w:rFonts w:ascii="Arial" w:cs="Arial" w:eastAsia="Arial" w:hAnsi="Arial"/>
                <w:color w:val="0F172A"/>
                <w:sz w:val="22"/>
                <w:szCs w:val="22"/>
              </w:rPr>
              <w:t xml:space="preserve"/>
            </w:r>
          </w:p>
          <w:p>
            <w:pPr>
              <w:spacing w:after="80" w:before="80" w:line="300"/>
            </w:pPr>
            <w:r>
              <w:rPr>
                <w:rFonts w:ascii="Arial" w:cs="Arial" w:eastAsia="Arial" w:hAnsi="Arial"/>
                <w:b/>
                <w:bCs/>
                <w:color w:val="0F172A"/>
                <w:sz w:val="22"/>
                <w:szCs w:val="22"/>
              </w:rPr>
              <w:t xml:space="preserve">Fallback if cleared as unacceptable: </w:t>
            </w:r>
            <w:r>
              <w:rPr>
                <w:rFonts w:ascii="Arial" w:cs="Arial" w:eastAsia="Arial" w:hAnsi="Arial"/>
                <w:color w:val="0F172A"/>
                <w:sz w:val="22"/>
                <w:szCs w:val="22"/>
              </w:rPr>
            </w:r>
          </w:p>
          <w:p>
            <w:pPr>
              <w:spacing w:after="80" w:before="80" w:line="300"/>
            </w:pPr>
            <w:r>
              <w:rPr>
                <w:rFonts w:ascii="Arial" w:cs="Arial" w:eastAsia="Arial" w:hAnsi="Arial"/>
                <w:color w:val="0F172A"/>
                <w:sz w:val="22"/>
                <w:szCs w:val="22"/>
              </w:rPr>
              <w:t xml:space="preserve"/>
            </w:r>
          </w:p>
          <w:p>
            <w:pPr>
              <w:spacing w:after="80" w:before="80" w:line="300"/>
            </w:pPr>
            <w:r>
              <w:rPr>
                <w:rFonts w:ascii="Arial" w:cs="Arial" w:eastAsia="Arial" w:hAnsi="Arial"/>
                <w:b/>
                <w:bCs/>
                <w:color w:val="0F172A"/>
                <w:sz w:val="22"/>
                <w:szCs w:val="22"/>
              </w:rPr>
              <w:t xml:space="preserve">Trigger for resolution: </w:t>
            </w:r>
            <w:r>
              <w:rPr>
                <w:rFonts w:ascii="Arial" w:cs="Arial" w:eastAsia="Arial" w:hAnsi="Arial"/>
                <w:color w:val="0F172A"/>
                <w:sz w:val="22"/>
                <w:szCs w:val="22"/>
              </w:rPr>
            </w:r>
          </w:p>
        </w:tc>
      </w:tr>
    </w:tbl>
    <w:p>
      <w:pPr>
        <w:pStyle w:val="Heading2"/>
        <w:spacing w:after="120" w:before="280"/>
      </w:pPr>
      <w:r>
        <w:rPr>
          <w:rFonts w:ascii="Arial" w:cs="Arial" w:eastAsia="Arial" w:hAnsi="Arial"/>
          <w:b/>
          <w:bCs/>
          <w:color w:val="0F172A"/>
          <w:sz w:val="28"/>
          <w:szCs w:val="28"/>
        </w:rPr>
        <w:t xml:space="preserve">10.2 Watch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2"/>
              <w:left w:val="single" w:color="B45309" w:sz="12"/>
              <w:bottom w:val="single" w:color="B45309" w:sz="4"/>
              <w:right w:val="single" w:color="B45309" w:sz="4"/>
            </w:tcBorders>
            <w:shd w:fill="FEF3C7" w:val="clear"/>
            <w:tcMar>
              <w:top w:type="dxa" w:w="200"/>
              <w:left w:type="dxa" w:w="280"/>
              <w:bottom w:type="dxa" w:w="200"/>
              <w:right w:type="dxa" w:w="280"/>
            </w:tcMar>
          </w:tcPr>
          <w:p>
            <w:pPr>
              <w:spacing w:after="80" w:before="0" w:line="300"/>
            </w:pPr>
            <w:r>
              <w:rPr>
                <w:rFonts w:ascii="Arial" w:cs="Arial" w:eastAsia="Arial" w:hAnsi="Arial"/>
                <w:b/>
                <w:bCs/>
                <w:color w:val="0F172A"/>
                <w:sz w:val="22"/>
                <w:szCs w:val="22"/>
              </w:rPr>
              <w:t xml:space="preserve">WATCH 1 — Notification load and OS-level disablement </w:t>
            </w:r>
          </w:p>
          <w:p>
            <w:pPr>
              <w:spacing w:after="80" w:before="80" w:line="300"/>
            </w:pPr>
            <w:r>
              <w:rPr>
                <w:rFonts w:ascii="Arial" w:cs="Arial" w:eastAsia="Arial" w:hAnsi="Arial"/>
                <w:color w:val="0F172A"/>
                <w:sz w:val="22"/>
                <w:szCs w:val="22"/>
              </w:rPr>
              <w:t xml:space="preserve"/>
            </w:r>
          </w:p>
          <w:p>
            <w:pPr>
              <w:spacing w:after="80" w:before="80" w:line="300"/>
            </w:pPr>
            <w:r>
              <w:rPr>
                <w:rFonts w:ascii="Arial" w:cs="Arial" w:eastAsia="Arial" w:hAnsi="Arial"/>
                <w:color w:val="0F172A"/>
                <w:sz w:val="22"/>
                <w:szCs w:val="22"/>
              </w:rPr>
              <w:t xml:space="preserve">PO feedback design (Round 4) generates ~8 prompts/week per typical tenant on top of shift-close, admin alerts, and agent activity pushes. The owner-agency principle was deliberately chosen over notification batching. If beta data shows owners disabling iOS notifications at the OS level, that's a structural-load failure signal, not a UX clarity issue.</w:t>
            </w:r>
          </w:p>
          <w:p>
            <w:pPr>
              <w:spacing w:after="80" w:before="80" w:line="300"/>
            </w:pPr>
            <w:r>
              <w:rPr>
                <w:rFonts w:ascii="Arial" w:cs="Arial" w:eastAsia="Arial" w:hAnsi="Arial"/>
                <w:color w:val="0F172A"/>
                <w:sz w:val="22"/>
                <w:szCs w:val="22"/>
              </w:rPr>
              <w:t xml:space="preserve"/>
            </w:r>
          </w:p>
          <w:p>
            <w:pPr>
              <w:spacing w:after="80" w:before="80" w:line="300"/>
            </w:pPr>
            <w:r>
              <w:rPr>
                <w:rFonts w:ascii="Arial" w:cs="Arial" w:eastAsia="Arial" w:hAnsi="Arial"/>
                <w:b/>
                <w:bCs/>
                <w:color w:val="0F172A"/>
                <w:sz w:val="22"/>
                <w:szCs w:val="22"/>
              </w:rPr>
              <w:t xml:space="preserve">Recovery path: </w:t>
            </w:r>
            <w:r>
              <w:rPr>
                <w:rFonts w:ascii="Arial" w:cs="Arial" w:eastAsia="Arial" w:hAnsi="Arial"/>
                <w:color w:val="0F172A"/>
                <w:sz w:val="22"/>
                <w:szCs w:val="22"/>
              </w:rPr>
            </w:r>
          </w:p>
        </w:tc>
      </w:tr>
    </w:tbl>
    <w:p>
      <w:pPr>
        <w:pStyle w:val="Heading2"/>
        <w:spacing w:after="120" w:before="280"/>
      </w:pPr>
      <w:r>
        <w:rPr>
          <w:rFonts w:ascii="Arial" w:cs="Arial" w:eastAsia="Arial" w:hAnsi="Arial"/>
          <w:b/>
          <w:bCs/>
          <w:color w:val="0F172A"/>
          <w:sz w:val="28"/>
          <w:szCs w:val="28"/>
        </w:rPr>
        <w:t xml:space="preserve">10.3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500"/>
        <w:gridCol w:w="2060"/>
      </w:tblGrid>
      <w:tr>
        <w:trPr>
          <w:tblHeader/>
        </w:trPr>
        <w:tc>
          <w:tcPr>
            <w:tcW w:type="dxa" w:w="8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w:t>
            </w:r>
          </w:p>
        </w:tc>
        <w:tc>
          <w:tcPr>
            <w:tcW w:type="dxa" w:w="65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Question</w:t>
            </w:r>
          </w:p>
        </w:tc>
        <w:tc>
          <w:tcPr>
            <w:tcW w:type="dxa" w:w="206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Defer to</w:t>
            </w:r>
          </w:p>
        </w:tc>
      </w:tr>
      <w:tr>
        <w:tc>
          <w:tcPr>
            <w:tcW w:type="dxa" w:w="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5.15</w:t>
            </w:r>
          </w:p>
        </w:tc>
        <w:tc>
          <w:tcPr>
            <w:tcW w:type="dxa" w:w="6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Launch sequencing: all signals on day 1 vs phased rollout (e.g., ship C + Weather first, add Ticketmaster events in v1.1).</w:t>
            </w:r>
          </w:p>
        </w:tc>
        <w:tc>
          <w:tcPr>
            <w:tcW w:type="dxa" w:w="20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Closer to launch</w:t>
            </w:r>
          </w:p>
        </w:tc>
      </w:tr>
      <w:tr>
        <w:tc>
          <w:tcPr>
            <w:tcW w:type="dxa" w:w="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7.1</w:t>
            </w:r>
          </w:p>
        </w:tc>
        <w:tc>
          <w:tcPr>
            <w:tcW w:type="dxa" w:w="6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Per-line UX micro-interactions: substitution modal field set, search vs. dropdown for substituted ingredient. Defer until first prototype is in front of a real owner.</w:t>
            </w:r>
          </w:p>
        </w:tc>
        <w:tc>
          <w:tcPr>
            <w:tcW w:type="dxa" w:w="20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Round 7 or implementation</w:t>
            </w:r>
          </w:p>
        </w:tc>
      </w:tr>
      <w:tr>
        <w:tc>
          <w:tcPr>
            <w:tcW w:type="dxa" w:w="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7.2</w:t>
            </w:r>
          </w:p>
        </w:tc>
        <w:tc>
          <w:tcPr>
            <w:tcW w:type="dxa" w:w="6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Receiving for an entire delivery that never arrives: edge case where the supplier no-shows entirely and the owner never opens the app for 3+ days. Currently handled by the failed_delivery state via Dashboard escalation card. Confirm in beta whether the agent's automatic re-draft is sufficient or if a separate "never arrived" recovery flow is needed.</w:t>
            </w:r>
          </w:p>
        </w:tc>
        <w:tc>
          <w:tcPr>
            <w:tcW w:type="dxa" w:w="20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Beta data</w:t>
            </w:r>
          </w:p>
        </w:tc>
      </w:tr>
      <w:tr>
        <w:tc>
          <w:tcPr>
            <w:tcW w:type="dxa" w:w="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7.3</w:t>
            </w:r>
          </w:p>
        </w:tc>
        <w:tc>
          <w:tcPr>
            <w:tcW w:type="dxa" w:w="6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Photo OCR confidence calibration: the threshold above which a line is rendered green vs. yellow vs. blue. Initial values will be educated guesses; tune from production data.</w:t>
            </w:r>
          </w:p>
        </w:tc>
        <w:tc>
          <w:tcPr>
            <w:tcW w:type="dxa" w:w="20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Beta data</w:t>
            </w:r>
          </w:p>
        </w:tc>
      </w:tr>
      <w:tr>
        <w:tc>
          <w:tcPr>
            <w:tcW w:type="dxa" w:w="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8.1</w:t>
            </w:r>
          </w:p>
        </w:tc>
        <w:tc>
          <w:tcPr>
            <w:tcW w:type="dxa" w:w="6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Next architecture workstream after the depletion loop: Dashboard, Orders page, Variance Report, Inventory page, Settings, Admin portal — these are §34.1 of v5. Sequencing is open.</w:t>
            </w:r>
          </w:p>
        </w:tc>
        <w:tc>
          <w:tcPr>
            <w:tcW w:type="dxa" w:w="20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Open — strategic call</w:t>
            </w:r>
          </w:p>
        </w:tc>
      </w:tr>
    </w:tbl>
    <w:p>
      <w:r>
        <w:br w:type="page"/>
      </w:r>
    </w:p>
    <w:p>
      <w:pPr>
        <w:pStyle w:val="Heading1"/>
        <w:spacing w:after="160" w:before="360"/>
      </w:pPr>
      <w:r>
        <w:rPr>
          <w:rFonts w:ascii="Arial" w:cs="Arial" w:eastAsia="Arial" w:hAnsi="Arial"/>
          <w:b/>
          <w:bCs/>
          <w:color w:val="0F172A"/>
          <w:sz w:val="36"/>
          <w:szCs w:val="36"/>
        </w:rPr>
        <w:t xml:space="preserve">8. Round 6a: Receiving timing and escalation</w:t>
      </w:r>
    </w:p>
    <w:p>
      <w:pPr>
        <w:pStyle w:val="Heading2"/>
        <w:spacing w:after="120" w:before="280"/>
      </w:pPr>
      <w:r>
        <w:rPr>
          <w:rFonts w:ascii="Arial" w:cs="Arial" w:eastAsia="Arial" w:hAnsi="Arial"/>
          <w:b/>
          <w:bCs/>
          <w:color w:val="0F172A"/>
          <w:sz w:val="28"/>
          <w:szCs w:val="28"/>
        </w:rPr>
        <w:t xml:space="preserve">8.1 The question</w:t>
      </w:r>
    </w:p>
    <w:p>
      <w:pPr>
        <w:spacing w:after="80" w:before="80" w:line="300"/>
      </w:pPr>
      <w:r>
        <w:rPr>
          <w:rFonts w:ascii="Arial" w:cs="Arial" w:eastAsia="Arial" w:hAnsi="Arial"/>
          <w:color w:val="0F172A"/>
          <w:sz w:val="22"/>
          <w:szCs w:val="22"/>
        </w:rPr>
        <w:t xml:space="preserve">Round 6a closes step 10 of the depletion loop: how does the system know that a delivery has arrived and prompt the owner to record it? v5 §33.3 already locked that receiving must handle full delivery, partial delivery, substitutions, shortages, and overages. 6a locks the timing and escalation behavior — when the system asks, how it follows up, and what the failure mode looks like.</w:t>
      </w:r>
    </w:p>
    <w:p>
      <w:pPr>
        <w:pStyle w:val="Heading2"/>
        <w:spacing w:after="120" w:before="280"/>
      </w:pPr>
      <w:r>
        <w:rPr>
          <w:rFonts w:ascii="Arial" w:cs="Arial" w:eastAsia="Arial" w:hAnsi="Arial"/>
          <w:b/>
          <w:bCs/>
          <w:color w:val="0F172A"/>
          <w:sz w:val="28"/>
          <w:szCs w:val="28"/>
        </w:rPr>
        <w:t xml:space="preserve">8.2 The decision: Option 2-strong</w:t>
      </w:r>
    </w:p>
    <w:p>
      <w:pPr>
        <w:spacing w:after="80" w:before="80" w:line="300"/>
      </w:pPr>
      <w:r>
        <w:rPr>
          <w:rFonts w:ascii="Arial" w:cs="Arial" w:eastAsia="Arial" w:hAnsi="Arial"/>
          <w:color w:val="0F172A"/>
          <w:sz w:val="22"/>
          <w:szCs w:val="22"/>
        </w:rPr>
        <w:t xml:space="preserve">Two notifications fire on the natural timing — morning of expected delivery day, and 24 hours later as a reminder. The Orders page passively surfaces "awaiting receipt" POs as a normal status indicator. After 24 hours post-expected-delivery without action, two escalations kick in: the Orders page upgrades the PO to high-priority visual treatment (red badge, top of list, "Action needed"), and a non-dismissible Dashboard card appears with two actions — "Confirm receipt" or "Didn't arrive."</w:t>
      </w:r>
    </w:p>
    <w:p>
      <w:pPr>
        <w:pStyle w:val="Heading2"/>
        <w:spacing w:after="120" w:before="280"/>
      </w:pPr>
      <w:r>
        <w:rPr>
          <w:rFonts w:ascii="Arial" w:cs="Arial" w:eastAsia="Arial" w:hAnsi="Arial"/>
          <w:b/>
          <w:bCs/>
          <w:color w:val="0F172A"/>
          <w:sz w:val="28"/>
          <w:szCs w:val="28"/>
        </w:rPr>
        <w:t xml:space="preserve">8.3 What "non-dismissible" precisely means</w:t>
      </w:r>
    </w:p>
    <w:p>
      <w:pPr>
        <w:spacing w:after="80" w:before="80" w:line="300"/>
      </w:pPr>
      <w:r>
        <w:rPr>
          <w:rFonts w:ascii="Arial" w:cs="Arial" w:eastAsia="Arial" w:hAnsi="Arial"/>
          <w:color w:val="0F172A"/>
          <w:sz w:val="22"/>
          <w:szCs w:val="22"/>
        </w:rPr>
        <w:t xml:space="preserve">The Dashboard card has no dismiss/snooze affordance. The only way to make it disappear is to take one of the two actions:</w:t>
      </w:r>
    </w:p>
    <w:p>
      <w:pPr>
        <w:pStyle w:val="ListParagraph"/>
        <w:numPr>
          <w:ilvl w:val="0"/>
          <w:numId w:val="2"/>
        </w:numPr>
        <w:spacing w:after="60" w:before="60" w:line="300"/>
      </w:pPr>
      <w:r>
        <w:rPr>
          <w:rFonts w:ascii="Arial" w:cs="Arial" w:eastAsia="Arial" w:hAnsi="Arial"/>
          <w:b/>
          <w:bCs/>
          <w:color w:val="0F172A"/>
          <w:sz w:val="22"/>
          <w:szCs w:val="22"/>
        </w:rPr>
        <w:t xml:space="preserve">Confirm receipt </w:t>
      </w:r>
      <w:r>
        <w:rPr>
          <w:rFonts w:ascii="Arial" w:cs="Arial" w:eastAsia="Arial" w:hAnsi="Arial"/>
          <w:color w:val="0F172A"/>
          <w:sz w:val="22"/>
          <w:szCs w:val="22"/>
        </w:rPr>
        <w:t xml:space="preserve">opens the receiving flow (Round 6b).</w:t>
      </w:r>
    </w:p>
    <w:p>
      <w:pPr>
        <w:pStyle w:val="ListParagraph"/>
        <w:numPr>
          <w:ilvl w:val="0"/>
          <w:numId w:val="2"/>
        </w:numPr>
        <w:spacing w:after="60" w:before="60" w:line="300"/>
      </w:pPr>
      <w:r>
        <w:rPr>
          <w:rFonts w:ascii="Arial" w:cs="Arial" w:eastAsia="Arial" w:hAnsi="Arial"/>
          <w:b/>
          <w:bCs/>
          <w:color w:val="0F172A"/>
          <w:sz w:val="22"/>
          <w:szCs w:val="22"/>
        </w:rPr>
        <w:t xml:space="preserve">Didn't arrive </w:t>
      </w:r>
      <w:r>
        <w:rPr>
          <w:rFonts w:ascii="Arial" w:cs="Arial" w:eastAsia="Arial" w:hAnsi="Arial"/>
          <w:color w:val="0F172A"/>
          <w:sz w:val="22"/>
          <w:szCs w:val="22"/>
        </w:rPr>
        <w:t xml:space="preserve">moves the PO to failed_delivery (terminal). The agent's next nightly run re-includes the missing ingredients in fresh forecasts.</w:t>
      </w:r>
    </w:p>
    <w:p>
      <w:pPr>
        <w:spacing w:after="80" w:before="80" w:line="300"/>
      </w:pPr>
      <w:r>
        <w:rPr>
          <w:rFonts w:ascii="Arial" w:cs="Arial" w:eastAsia="Arial" w:hAnsi="Arial"/>
          <w:color w:val="0F172A"/>
          <w:sz w:val="22"/>
          <w:szCs w:val="22"/>
        </w:rPr>
        <w:t xml:space="preserve">Multiple pending POs stack as multiple cards, ordered by how overdue. The card does NOT freeze the rest of the application — the owner can still navigate to Forecasts, Orders, Inventory, and Settings while a card is present. This is the principle locked at 13.6: surface strongly, never gate.</w:t>
      </w:r>
    </w:p>
    <w:p>
      <w:pPr>
        <w:pStyle w:val="Heading2"/>
        <w:spacing w:after="120" w:before="280"/>
      </w:pPr>
      <w:r>
        <w:rPr>
          <w:rFonts w:ascii="Arial" w:cs="Arial" w:eastAsia="Arial" w:hAnsi="Arial"/>
          <w:b/>
          <w:bCs/>
          <w:color w:val="0F172A"/>
          <w:sz w:val="28"/>
          <w:szCs w:val="28"/>
        </w:rPr>
        <w:t xml:space="preserve">8.4 Phase 2: Model D</w:t>
      </w:r>
    </w:p>
    <w:p>
      <w:pPr>
        <w:spacing w:after="80" w:before="80" w:line="300"/>
      </w:pPr>
      <w:r>
        <w:rPr>
          <w:rFonts w:ascii="Arial" w:cs="Arial" w:eastAsia="Arial" w:hAnsi="Arial"/>
          <w:color w:val="0F172A"/>
          <w:sz w:val="22"/>
          <w:szCs w:val="22"/>
        </w:rPr>
        <w:t xml:space="preserve">Auto-receipt on supplier confirmation feeds is deferred to Phase 2 (Lock 6.8). When implemented, it replaces the scheduled prompt for suppliers that support electronic delivery confirmation. Model C-strong remains the fallback for suppliers without supported feeds.</w:t>
      </w:r>
    </w:p>
    <w:p>
      <w:pPr>
        <w:pStyle w:val="Heading2"/>
        <w:spacing w:after="120" w:before="280"/>
      </w:pPr>
      <w:r>
        <w:rPr>
          <w:rFonts w:ascii="Arial" w:cs="Arial" w:eastAsia="Arial" w:hAnsi="Arial"/>
          <w:b/>
          <w:bCs/>
          <w:color w:val="0F172A"/>
          <w:sz w:val="28"/>
          <w:szCs w:val="28"/>
        </w:rPr>
        <w:t xml:space="preserve">8.5 Round 6a lock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6300"/>
        <w:gridCol w:w="2280"/>
      </w:tblGrid>
      <w:tr>
        <w:trPr>
          <w:tblHeader/>
        </w:trPr>
        <w:tc>
          <w:tcPr>
            <w:tcW w:type="dxa" w:w="78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w:t>
            </w:r>
          </w:p>
        </w:tc>
        <w:tc>
          <w:tcPr>
            <w:tcW w:type="dxa" w:w="63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Decision</w:t>
            </w:r>
          </w:p>
        </w:tc>
        <w:tc>
          <w:tcPr>
            <w:tcW w:type="dxa" w:w="228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Status</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6.1</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Receiving timing model: Option 2-strong. Scheduled prompt + 24h reminder + Orders page surfacing + Dashboard card escalation.</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6.2</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Scheduled prompt anchor: PO's expected delivery day, calculated at PO draft time from supplier delivery cadence (v5 §33.2). Owner can manually edit if delivery is rescheduled.</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6.3</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First push fires morning of expected delivery day. Reminder fires 24h later. No further pushes after.</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6.4</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Orders page passively surfaces "awaiting receipt" POs as normal status indicator. No special urgency until 24h post-expected-delivery.</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6.5</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After 24h post-expected-delivery without action, Orders page upgrades to high-priority visual treatment (red badge, top of list, "Action needed").</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6.6</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After 24h post-expected-delivery, non-dismissible Dashboard card appears with "Confirm receipt" and "Didn't arrive" actions.</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6.7</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Dashboard card has no dismiss/snooze. Multiple cards stack ordered by overdue duration.</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6.8</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Phase 2: Model D (auto-receipt on supplier confirmation feeds) replaces scheduled prompt for supported suppliers. Model C-strong is the fallback.</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1E40AF"/>
                <w:sz w:val="20"/>
                <w:szCs w:val="20"/>
              </w:rPr>
              <w:t xml:space="preserve">Logged for Phase 2</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6.9</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Owner-agency principle from Round 4 extends to receiving: surface strongly, never gate. Hard app freezes or modal lockouts are explicitly out of scope.</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 as cross-cutting principle</w:t>
            </w:r>
          </w:p>
        </w:tc>
      </w:tr>
    </w:tbl>
    <w:p>
      <w:r>
        <w:br w:type="page"/>
      </w:r>
    </w:p>
    <w:p>
      <w:pPr>
        <w:pStyle w:val="Heading1"/>
        <w:spacing w:after="160" w:before="360"/>
      </w:pPr>
      <w:r>
        <w:rPr>
          <w:rFonts w:ascii="Arial" w:cs="Arial" w:eastAsia="Arial" w:hAnsi="Arial"/>
          <w:b/>
          <w:bCs/>
          <w:color w:val="0F172A"/>
          <w:sz w:val="36"/>
          <w:szCs w:val="36"/>
        </w:rPr>
        <w:t xml:space="preserve">9. Round 6b: Receiving UX (photo-first, variance, submit)</w:t>
      </w:r>
    </w:p>
    <w:p>
      <w:pPr>
        <w:pStyle w:val="Heading2"/>
        <w:spacing w:after="120" w:before="280"/>
      </w:pPr>
      <w:r>
        <w:rPr>
          <w:rFonts w:ascii="Arial" w:cs="Arial" w:eastAsia="Arial" w:hAnsi="Arial"/>
          <w:b/>
          <w:bCs/>
          <w:color w:val="0F172A"/>
          <w:sz w:val="28"/>
          <w:szCs w:val="28"/>
        </w:rPr>
        <w:t xml:space="preserve">9.1 The receiving screen — photo-first as accelerator</w:t>
      </w:r>
    </w:p>
    <w:p>
      <w:pPr>
        <w:spacing w:after="80" w:before="80" w:line="300"/>
      </w:pPr>
      <w:r>
        <w:rPr>
          <w:rFonts w:ascii="Arial" w:cs="Arial" w:eastAsia="Arial" w:hAnsi="Arial"/>
          <w:color w:val="0F172A"/>
          <w:sz w:val="22"/>
          <w:szCs w:val="22"/>
        </w:rPr>
        <w:t xml:space="preserve">When the owner taps "Confirm receipt," the screen opens with two prominent options at the top: "Scan invoice" (primary, larger) and "Enter manually" (secondary). Both are visible from the start — no funnel through one to reach the other.</w:t>
      </w:r>
    </w:p>
    <w:p>
      <w:pPr>
        <w:spacing w:after="80" w:before="80" w:line="300"/>
      </w:pPr>
      <w:r>
        <w:rPr>
          <w:rFonts w:ascii="Arial" w:cs="Arial" w:eastAsia="Arial" w:hAnsi="Arial"/>
          <w:color w:val="0F172A"/>
          <w:sz w:val="22"/>
          <w:szCs w:val="22"/>
        </w:rPr>
        <w:t xml:space="preserve">On the photo path, the owner snaps a photo of the supplier's packing slip. The system sends the image to Claude (or OCR + Claude) for extraction, scoped against the supplier's known ingredients in the database (Round 1 supplier-grouped context). The result is rendered as a pre-filled line-by-line review screen. The owner reviews, edits anything that looks wrong, and submits.</w:t>
      </w:r>
    </w:p>
    <w:p>
      <w:pPr>
        <w:spacing w:after="80" w:before="80" w:line="300"/>
      </w:pPr>
      <w:r>
        <w:rPr>
          <w:rFonts w:ascii="Arial" w:cs="Arial" w:eastAsia="Arial" w:hAnsi="Arial"/>
          <w:color w:val="0F172A"/>
          <w:sz w:val="22"/>
          <w:szCs w:val="22"/>
        </w:rPr>
        <w:t xml:space="preserve">On the manual path, the owner skips photo entirely and goes straight to the line-by-line review with PO expected values pre-filled. They adjust where actual differed from ordered, and submit.</w:t>
      </w:r>
    </w:p>
    <w:p>
      <w:pPr>
        <w:spacing w:after="80" w:before="80" w:line="300"/>
      </w:pPr>
      <w:r>
        <w:rPr>
          <w:rFonts w:ascii="Arial" w:cs="Arial" w:eastAsia="Arial" w:hAnsi="Arial"/>
          <w:color w:val="0F172A"/>
          <w:sz w:val="22"/>
          <w:szCs w:val="22"/>
        </w:rPr>
        <w:t xml:space="preserve">Both paths converge at the same submission step. The submitted form is structured: per-line ingredient ID, quantity received, status (received-as-ordered / partial / substituted / didn't-arrive / overage).</w:t>
      </w:r>
    </w:p>
    <w:p>
      <w:pPr>
        <w:pStyle w:val="Heading2"/>
        <w:spacing w:after="120" w:before="280"/>
      </w:pPr>
      <w:r>
        <w:rPr>
          <w:rFonts w:ascii="Arial" w:cs="Arial" w:eastAsia="Arial" w:hAnsi="Arial"/>
          <w:b/>
          <w:bCs/>
          <w:color w:val="0F172A"/>
          <w:sz w:val="28"/>
          <w:szCs w:val="28"/>
        </w:rPr>
        <w:t xml:space="preserve">9.2 The boundary that protects determinism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2"/>
              <w:left w:val="single" w:color="0F766E" w:sz="12"/>
              <w:bottom w:val="single" w:color="0F766E" w:sz="4"/>
              <w:right w:val="single" w:color="0F766E" w:sz="4"/>
            </w:tcBorders>
            <w:shd w:fill="CCFBF1" w:val="clear"/>
            <w:tcMar>
              <w:top w:type="dxa" w:w="200"/>
              <w:left w:type="dxa" w:w="280"/>
              <w:bottom w:type="dxa" w:w="200"/>
              <w:right w:type="dxa" w:w="280"/>
            </w:tcMar>
          </w:tcPr>
          <w:p>
            <w:pPr>
              <w:spacing w:after="80" w:before="0" w:line="300"/>
            </w:pPr>
            <w:r>
              <w:rPr>
                <w:rFonts w:ascii="Arial" w:cs="Arial" w:eastAsia="Arial" w:hAnsi="Arial"/>
                <w:b/>
                <w:bCs/>
                <w:color w:val="0F172A"/>
                <w:sz w:val="22"/>
                <w:szCs w:val="22"/>
              </w:rPr>
              <w:t xml:space="preserve">The LLM never writes to inventory directly. </w:t>
            </w:r>
            <w:r>
              <w:rPr>
                <w:rFonts w:ascii="Arial" w:cs="Arial" w:eastAsia="Arial" w:hAnsi="Arial"/>
                <w:color w:val="0F172A"/>
                <w:sz w:val="22"/>
                <w:szCs w:val="22"/>
              </w:rPr>
              <w:t xml:space="preserve">It writes to a form. The owner submits the form. The form writes to inventory. Determinism (Lock 2.1) holds at the data-mutation boundary.</w:t>
            </w:r>
          </w:p>
          <w:p>
            <w:pPr>
              <w:spacing w:after="80" w:before="80" w:line="300"/>
            </w:pPr>
            <w:r>
              <w:rPr>
                <w:rFonts w:ascii="Arial" w:cs="Arial" w:eastAsia="Arial" w:hAnsi="Arial"/>
                <w:color w:val="0F172A"/>
                <w:sz w:val="22"/>
                <w:szCs w:val="22"/>
              </w:rPr>
              <w:t xml:space="preserve"/>
            </w:r>
          </w:p>
          <w:p>
            <w:pPr>
              <w:spacing w:after="80" w:before="80" w:line="300"/>
            </w:pPr>
            <w:r>
              <w:rPr>
                <w:rFonts w:ascii="Arial" w:cs="Arial" w:eastAsia="Arial" w:hAnsi="Arial"/>
                <w:b/>
                <w:bCs/>
                <w:color w:val="0F172A"/>
                <w:sz w:val="22"/>
                <w:szCs w:val="22"/>
              </w:rPr>
              <w:t xml:space="preserve">This is what makes Lock 13.9 hold across the entire architecture: </w:t>
            </w:r>
            <w:r>
              <w:rPr>
                <w:rFonts w:ascii="Arial" w:cs="Arial" w:eastAsia="Arial" w:hAnsi="Arial"/>
                <w:color w:val="0F172A"/>
                <w:sz w:val="22"/>
                <w:szCs w:val="22"/>
              </w:rPr>
              <w:t xml:space="preserve">LLM is permitted at UI input boundaries (pre-fill, normalize, suggest), never at data-mutation boundaries inside the depletion loop.</w:t>
            </w:r>
          </w:p>
        </w:tc>
      </w:tr>
    </w:tbl>
    <w:p>
      <w:pPr>
        <w:pStyle w:val="Heading2"/>
        <w:spacing w:after="120" w:before="280"/>
      </w:pPr>
      <w:r>
        <w:rPr>
          <w:rFonts w:ascii="Arial" w:cs="Arial" w:eastAsia="Arial" w:hAnsi="Arial"/>
          <w:b/>
          <w:bCs/>
          <w:color w:val="0F172A"/>
          <w:sz w:val="28"/>
          <w:szCs w:val="28"/>
        </w:rPr>
        <w:t xml:space="preserve">9.3 Confidence-aware rendering</w:t>
      </w:r>
    </w:p>
    <w:p>
      <w:pPr>
        <w:spacing w:after="80" w:before="80" w:line="300"/>
      </w:pPr>
      <w:r>
        <w:rPr>
          <w:rFonts w:ascii="Arial" w:cs="Arial" w:eastAsia="Arial" w:hAnsi="Arial"/>
          <w:color w:val="0F172A"/>
          <w:sz w:val="22"/>
          <w:szCs w:val="22"/>
        </w:rPr>
        <w:t xml:space="preserve">Even though the owner always confirms, the LLM's per-line extraction confidence shapes how the screen renders to focus the owner's attention: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rPr>
          <w:tblHeader/>
        </w:trPr>
        <w:tc>
          <w:tcPr>
            <w:tcW w:type="dxa" w:w="30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Confidence</w:t>
            </w:r>
          </w:p>
        </w:tc>
        <w:tc>
          <w:tcPr>
            <w:tcW w:type="dxa" w:w="25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Rendering</w:t>
            </w:r>
          </w:p>
        </w:tc>
        <w:tc>
          <w:tcPr>
            <w:tcW w:type="dxa" w:w="386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Owner action</w:t>
            </w:r>
          </w:p>
        </w:tc>
      </w:tr>
      <w:tr>
        <w:tc>
          <w:tcPr>
            <w:tcW w:type="dxa" w:w="3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High (extraction matches PO line cleanly)</w:t>
            </w:r>
          </w:p>
        </w:tc>
        <w:tc>
          <w:tcPr>
            <w:tcW w:type="dxa" w:w="2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Green ✅</w:t>
            </w:r>
          </w:p>
        </w:tc>
        <w:tc>
          <w:tcPr>
            <w:tcW w:type="dxa" w:w="38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Glance and leave alone, or tap to edit</w:t>
            </w:r>
          </w:p>
        </w:tc>
      </w:tr>
      <w:tr>
        <w:tc>
          <w:tcPr>
            <w:tcW w:type="dxa" w:w="3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Medium (fuzzy match, off quantity, brand uncertain)</w:t>
            </w:r>
          </w:p>
        </w:tc>
        <w:tc>
          <w:tcPr>
            <w:tcW w:type="dxa" w:w="2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Yellow ⚠️ "Verify"</w:t>
            </w:r>
          </w:p>
        </w:tc>
        <w:tc>
          <w:tcPr>
            <w:tcW w:type="dxa" w:w="38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Visually nudged to inspect; tap to expand or open modal</w:t>
            </w:r>
          </w:p>
        </w:tc>
      </w:tr>
      <w:tr>
        <w:tc>
          <w:tcPr>
            <w:tcW w:type="dxa" w:w="3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No match (extracted item not on PO)</w:t>
            </w:r>
          </w:p>
        </w:tc>
        <w:tc>
          <w:tcPr>
            <w:tcW w:type="dxa" w:w="2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Blue + "Possible additions"</w:t>
            </w:r>
          </w:p>
        </w:tc>
        <w:tc>
          <w:tcPr>
            <w:tcW w:type="dxa" w:w="38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Tap to add as overage or dismiss</w:t>
            </w:r>
          </w:p>
        </w:tc>
      </w:tr>
    </w:tbl>
    <w:p>
      <w:pPr>
        <w:pStyle w:val="Heading2"/>
        <w:spacing w:after="120" w:before="280"/>
      </w:pPr>
      <w:r>
        <w:rPr>
          <w:rFonts w:ascii="Arial" w:cs="Arial" w:eastAsia="Arial" w:hAnsi="Arial"/>
          <w:b/>
          <w:bCs/>
          <w:color w:val="0F172A"/>
          <w:sz w:val="28"/>
          <w:szCs w:val="28"/>
        </w:rPr>
        <w:t xml:space="preserve">9.4 Per-line variance UX — Hybrid Variant C</w:t>
      </w:r>
    </w:p>
    <w:p>
      <w:pPr>
        <w:spacing w:after="80" w:before="80" w:line="300"/>
      </w:pPr>
      <w:r>
        <w:rPr>
          <w:rFonts w:ascii="Arial" w:cs="Arial" w:eastAsia="Arial" w:hAnsi="Arial"/>
          <w:color w:val="0F172A"/>
          <w:sz w:val="22"/>
          <w:szCs w:val="22"/>
        </w:rPr>
        <w:t xml:space="preserve">When the owner taps a line that needs verification, the interaction pattern matches the kind of edit needed. Quantity-only edits use inline expand (the line expands in place to reveal a number stepper). Substitution edits use a modal sheet (slides up from bottom, focused on just that line, with ingredient picker). The decision rule is built into the line itself based on what the variance was flagged as.</w:t>
      </w:r>
    </w:p>
    <w:p>
      <w:pPr>
        <w:pStyle w:val="Heading2"/>
        <w:spacing w:after="120" w:before="280"/>
      </w:pPr>
      <w:r>
        <w:rPr>
          <w:rFonts w:ascii="Arial" w:cs="Arial" w:eastAsia="Arial" w:hAnsi="Arial"/>
          <w:b/>
          <w:bCs/>
          <w:color w:val="0F172A"/>
          <w:sz w:val="28"/>
          <w:szCs w:val="28"/>
        </w:rPr>
        <w:t xml:space="preserve">9.5 Submit moment — summary review before commit</w:t>
      </w:r>
    </w:p>
    <w:p>
      <w:pPr>
        <w:spacing w:after="80" w:before="80" w:line="300"/>
      </w:pPr>
      <w:r>
        <w:rPr>
          <w:rFonts w:ascii="Arial" w:cs="Arial" w:eastAsia="Arial" w:hAnsi="Arial"/>
          <w:color w:val="0F172A"/>
          <w:sz w:val="22"/>
          <w:szCs w:val="22"/>
        </w:rPr>
        <w:t xml:space="preserve">Tap submit, screen shows a clean plain-language summary grouped by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4A3B8" w:sz="12"/>
              <w:left w:val="single" w:color="94A3B8" w:sz="12"/>
              <w:bottom w:val="single" w:color="94A3B8" w:sz="4"/>
              <w:right w:val="single" w:color="94A3B8" w:sz="4"/>
            </w:tcBorders>
            <w:shd w:fill="F8FAFC" w:val="clear"/>
            <w:tcMar>
              <w:top w:type="dxa" w:w="200"/>
              <w:left w:type="dxa" w:w="280"/>
              <w:bottom w:type="dxa" w:w="200"/>
              <w:right w:type="dxa" w:w="280"/>
            </w:tcMar>
          </w:tcPr>
          <w:p>
            <w:pPr>
              <w:spacing w:after="80" w:before="0" w:line="300"/>
            </w:pPr>
            <w:r>
              <w:rPr>
                <w:rFonts w:ascii="Arial" w:cs="Arial" w:eastAsia="Arial" w:hAnsi="Arial"/>
                <w:i/>
                <w:iCs/>
                <w:color w:val="0F172A"/>
                <w:sz w:val="22"/>
                <w:szCs w:val="22"/>
              </w:rPr>
              <w:t xml:space="preserve">Recording receipt: Sysco — Wednesday delivery</w:t>
            </w:r>
          </w:p>
          <w:p>
            <w:pPr>
              <w:spacing w:after="80" w:before="80" w:line="300"/>
            </w:pPr>
            <w:r>
              <w:rPr>
                <w:rFonts w:ascii="Arial" w:cs="Arial" w:eastAsia="Arial" w:hAnsi="Arial"/>
                <w:color w:val="0F172A"/>
                <w:sz w:val="22"/>
                <w:szCs w:val="22"/>
              </w:rPr>
              <w:t xml:space="preserve"/>
            </w:r>
          </w:p>
          <w:p>
            <w:pPr>
              <w:spacing w:after="80" w:before="80" w:line="300"/>
            </w:pPr>
            <w:r>
              <w:rPr>
                <w:rFonts w:ascii="Arial" w:cs="Arial" w:eastAsia="Arial" w:hAnsi="Arial"/>
                <w:b/>
                <w:bCs/>
                <w:color w:val="0F172A"/>
                <w:sz w:val="22"/>
                <w:szCs w:val="22"/>
              </w:rPr>
              <w:t xml:space="preserve">Received as ordered (8 items)</w:t>
            </w:r>
          </w:p>
          <w:p>
            <w:pPr>
              <w:spacing w:after="80" w:before="80" w:line="300"/>
            </w:pPr>
            <w:r>
              <w:rPr>
                <w:rFonts w:ascii="Arial" w:cs="Arial" w:eastAsia="Arial" w:hAnsi="Arial"/>
                <w:i/>
                <w:iCs/>
                <w:color w:val="0F172A"/>
                <w:sz w:val="22"/>
                <w:szCs w:val="22"/>
              </w:rPr>
              <w:t xml:space="preserve">12 lb Roma tomatoes, 5 lb yellow onions, 4 cases romaine lettuce, ...</w:t>
            </w:r>
          </w:p>
          <w:p>
            <w:pPr>
              <w:spacing w:after="80" w:before="80" w:line="300"/>
            </w:pPr>
            <w:r>
              <w:rPr>
                <w:rFonts w:ascii="Arial" w:cs="Arial" w:eastAsia="Arial" w:hAnsi="Arial"/>
                <w:color w:val="0F172A"/>
                <w:sz w:val="22"/>
                <w:szCs w:val="22"/>
              </w:rPr>
              <w:t xml:space="preserve"/>
            </w:r>
          </w:p>
          <w:p>
            <w:pPr>
              <w:spacing w:after="80" w:before="80" w:line="300"/>
            </w:pPr>
            <w:r>
              <w:rPr>
                <w:rFonts w:ascii="Arial" w:cs="Arial" w:eastAsia="Arial" w:hAnsi="Arial"/>
                <w:b/>
                <w:bCs/>
                <w:color w:val="0F172A"/>
                <w:sz w:val="22"/>
                <w:szCs w:val="22"/>
              </w:rPr>
              <w:t xml:space="preserve">Variances (2 items)</w:t>
            </w:r>
          </w:p>
          <w:p>
            <w:pPr>
              <w:spacing w:after="80" w:before="80" w:line="300"/>
            </w:pPr>
            <w:r>
              <w:rPr>
                <w:rFonts w:ascii="Arial" w:cs="Arial" w:eastAsia="Arial" w:hAnsi="Arial"/>
                <w:i/>
                <w:iCs/>
                <w:color w:val="0F172A"/>
                <w:sz w:val="22"/>
                <w:szCs w:val="22"/>
              </w:rPr>
              <w:t xml:space="preserve">Chicken thighs: 8 lb received (10 lb ordered)</w:t>
            </w:r>
          </w:p>
          <w:p>
            <w:pPr>
              <w:spacing w:after="80" w:before="80" w:line="300"/>
            </w:pPr>
            <w:r>
              <w:rPr>
                <w:rFonts w:ascii="Arial" w:cs="Arial" w:eastAsia="Arial" w:hAnsi="Arial"/>
                <w:i/>
                <w:iCs/>
                <w:color w:val="0F172A"/>
                <w:sz w:val="22"/>
                <w:szCs w:val="22"/>
              </w:rPr>
              <w:t xml:space="preserve">Olive oil: substituted — Bertolli Extra Virgin received instead of Colavita</w:t>
            </w:r>
          </w:p>
          <w:p>
            <w:pPr>
              <w:spacing w:after="80" w:before="80" w:line="300"/>
            </w:pPr>
            <w:r>
              <w:rPr>
                <w:rFonts w:ascii="Arial" w:cs="Arial" w:eastAsia="Arial" w:hAnsi="Arial"/>
                <w:color w:val="0F172A"/>
                <w:sz w:val="22"/>
                <w:szCs w:val="22"/>
              </w:rPr>
              <w:t xml:space="preserve"/>
            </w:r>
          </w:p>
          <w:p>
            <w:pPr>
              <w:spacing w:after="80" w:before="80" w:line="300"/>
            </w:pPr>
            <w:r>
              <w:rPr>
                <w:rFonts w:ascii="Arial" w:cs="Arial" w:eastAsia="Arial" w:hAnsi="Arial"/>
                <w:b/>
                <w:bCs/>
                <w:color w:val="0F172A"/>
                <w:sz w:val="22"/>
                <w:szCs w:val="22"/>
              </w:rPr>
              <w:t xml:space="preserve">Did not arrive (1 item)</w:t>
            </w:r>
          </w:p>
          <w:p>
            <w:pPr>
              <w:spacing w:after="80" w:before="80" w:line="300"/>
            </w:pPr>
            <w:r>
              <w:rPr>
                <w:rFonts w:ascii="Arial" w:cs="Arial" w:eastAsia="Arial" w:hAnsi="Arial"/>
                <w:i/>
                <w:iCs/>
                <w:color w:val="0F172A"/>
                <w:sz w:val="22"/>
                <w:szCs w:val="22"/>
              </w:rPr>
              <w:t xml:space="preserve">Fresh basil — 2 bunches</w:t>
            </w:r>
          </w:p>
          <w:p>
            <w:pPr>
              <w:spacing w:after="80" w:before="80" w:line="300"/>
            </w:pPr>
            <w:r>
              <w:rPr>
                <w:rFonts w:ascii="Arial" w:cs="Arial" w:eastAsia="Arial" w:hAnsi="Arial"/>
                <w:color w:val="0F172A"/>
                <w:sz w:val="22"/>
                <w:szCs w:val="22"/>
              </w:rPr>
              <w:t xml:space="preserve"/>
            </w:r>
          </w:p>
          <w:p>
            <w:pPr>
              <w:spacing w:after="80" w:before="80" w:line="300"/>
            </w:pPr>
            <w:r>
              <w:rPr>
                <w:rFonts w:ascii="Arial" w:cs="Arial" w:eastAsia="Arial" w:hAnsi="Arial"/>
                <w:b/>
                <w:bCs/>
                <w:color w:val="0F172A"/>
                <w:sz w:val="22"/>
                <w:szCs w:val="22"/>
              </w:rPr>
              <w:t xml:space="preserve">Unexpected items (1 item)</w:t>
            </w:r>
          </w:p>
          <w:p>
            <w:pPr>
              <w:spacing w:after="80" w:before="80" w:line="300"/>
            </w:pPr>
            <w:r>
              <w:rPr>
                <w:rFonts w:ascii="Arial" w:cs="Arial" w:eastAsia="Arial" w:hAnsi="Arial"/>
                <w:i/>
                <w:iCs/>
                <w:color w:val="0F172A"/>
                <w:sz w:val="22"/>
                <w:szCs w:val="22"/>
              </w:rPr>
              <w:t xml:space="preserve">Parsley — 3 bunches added</w:t>
            </w:r>
          </w:p>
          <w:p>
            <w:pPr>
              <w:spacing w:after="80" w:before="80" w:line="300"/>
            </w:pPr>
            <w:r>
              <w:rPr>
                <w:rFonts w:ascii="Arial" w:cs="Arial" w:eastAsia="Arial" w:hAnsi="Arial"/>
                <w:color w:val="0F172A"/>
                <w:sz w:val="22"/>
                <w:szCs w:val="22"/>
              </w:rPr>
              <w:t xml:space="preserve"/>
            </w:r>
          </w:p>
          <w:p>
            <w:pPr>
              <w:spacing w:after="80" w:before="80" w:line="300"/>
            </w:pPr>
            <w:r>
              <w:rPr>
                <w:rFonts w:ascii="Arial" w:cs="Arial" w:eastAsia="Arial" w:hAnsi="Arial"/>
                <w:b/>
                <w:bCs/>
                <w:color w:val="0F172A"/>
                <w:sz w:val="22"/>
                <w:szCs w:val="22"/>
              </w:rPr>
              <w:t xml:space="preserve">[Back to edit]    [Confirm and record receipt]</w:t>
            </w:r>
          </w:p>
        </w:tc>
      </w:tr>
    </w:tbl>
    <w:p>
      <w:pPr>
        <w:spacing w:after="80" w:before="80" w:line="300"/>
      </w:pPr>
      <w:r>
        <w:rPr>
          <w:rFonts w:ascii="Arial" w:cs="Arial" w:eastAsia="Arial" w:hAnsi="Arial"/>
          <w:color w:val="0F172A"/>
          <w:sz w:val="22"/>
          <w:szCs w:val="22"/>
        </w:rPr>
        <w:t xml:space="preserve">Confirm action commits to inventory atomically. No soft-commit / undo-window state in the data model. Edit-after-commit is supported as a separate explicit flow (Orders → tap PO → "edit receipt").</w:t>
      </w:r>
    </w:p>
    <w:p>
      <w:pPr>
        <w:pStyle w:val="Heading2"/>
        <w:spacing w:after="120" w:before="280"/>
      </w:pPr>
      <w:r>
        <w:rPr>
          <w:rFonts w:ascii="Arial" w:cs="Arial" w:eastAsia="Arial" w:hAnsi="Arial"/>
          <w:b/>
          <w:bCs/>
          <w:color w:val="0F172A"/>
          <w:sz w:val="28"/>
          <w:szCs w:val="28"/>
        </w:rPr>
        <w:t xml:space="preserve">9.6 Round 6b lock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6300"/>
        <w:gridCol w:w="2280"/>
      </w:tblGrid>
      <w:tr>
        <w:trPr>
          <w:tblHeader/>
        </w:trPr>
        <w:tc>
          <w:tcPr>
            <w:tcW w:type="dxa" w:w="78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w:t>
            </w:r>
          </w:p>
        </w:tc>
        <w:tc>
          <w:tcPr>
            <w:tcW w:type="dxa" w:w="63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Decision</w:t>
            </w:r>
          </w:p>
        </w:tc>
        <w:tc>
          <w:tcPr>
            <w:tcW w:type="dxa" w:w="228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Status</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6.10</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Receiving screen structure: photo-first as UX accelerator, with manual entry as equal-status alternative both visible at top.</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6.11</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Photo path: LLM extracts line items scoped against supplier's known ingredients (Round 1 / v5 §33.1).</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6.12</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LLM never writes to inventory directly. LLM output pre-fills a line-by-line review form. Owner is always the final source of truth.</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6.13</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Confidence-aware rendering: high-confidence lines green ✅; medium yellow ⚠️ "verify"; unmatched extractions blue + "possible additions".</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6.14</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Manual path bypasses photo entirely, opens same review screen with PO expected values pre-filled.</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6.15</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Both paths converge at the same submission step. Submitted form is structured per-line.</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6.16</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Lock 2.1 holds. LLM is at the input boundary as a UI affordance only — owner-confirmed structured form is what mutates inventory.</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Reaffirmed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6.17</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Per-line variance UX: Hybrid Variant C. Inline expand for quantity-only edits, modal sheet for substitution edits.</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6.18</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Decision rule for which pattern renders is based on the kind of edit needed.</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6.19</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When LLM flags a yellow "verify" line, default tap behavior matches the variance type.</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6.20</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Submit behavior: Variant B. Summary review screen before commit. Owner explicitly confirms to mutate inventory.</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6.21</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Summary screen is descriptive, not editable. Edits via "Back to edit."</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6.22</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Summary groups items by status. Received-as-ordered compressed; variances/didn't-arrive/overages expanded.</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6.23</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Confirm action commits atomically. No soft-commit / undo-window state.</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6.24</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Edit-after-commit is a separate explicit flow (Orders → tap PO → "edit receipt"), not an undo path.</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bl>
    <w:p>
      <w:r>
        <w:br w:type="page"/>
      </w:r>
    </w:p>
    <w:p>
      <w:pPr>
        <w:pStyle w:val="Heading1"/>
        <w:spacing w:after="160" w:before="360"/>
      </w:pPr>
      <w:r>
        <w:rPr>
          <w:rFonts w:ascii="Arial" w:cs="Arial" w:eastAsia="Arial" w:hAnsi="Arial"/>
          <w:b/>
          <w:bCs/>
          <w:color w:val="0F172A"/>
          <w:sz w:val="36"/>
          <w:szCs w:val="36"/>
        </w:rPr>
        <w:t xml:space="preserve">10. Round 6c: Receipt data model and PO state machine</w:t>
      </w:r>
    </w:p>
    <w:p>
      <w:pPr>
        <w:pStyle w:val="Heading2"/>
        <w:spacing w:after="120" w:before="280"/>
      </w:pPr>
      <w:r>
        <w:rPr>
          <w:rFonts w:ascii="Arial" w:cs="Arial" w:eastAsia="Arial" w:hAnsi="Arial"/>
          <w:b/>
          <w:bCs/>
          <w:color w:val="0F172A"/>
          <w:sz w:val="28"/>
          <w:szCs w:val="28"/>
        </w:rPr>
        <w:t xml:space="preserve">10.1 Receipts data model — Shape C</w:t>
      </w:r>
    </w:p>
    <w:p>
      <w:pPr>
        <w:spacing w:after="80" w:before="80" w:line="300"/>
      </w:pPr>
      <w:r>
        <w:rPr>
          <w:rFonts w:ascii="Arial" w:cs="Arial" w:eastAsia="Arial" w:hAnsi="Arial"/>
          <w:color w:val="0F172A"/>
          <w:sz w:val="22"/>
          <w:szCs w:val="22"/>
        </w:rPr>
        <w:t xml:space="preserve">Receipts are first-class business objects (their own table with child receipt_lines) AND every receipt line writes a row to inventory_movements for unified inventory auditing. The receipt is the human-meaningful unit; inventory_movements is the comprehensive ledger across all inventory mutations.</w:t>
      </w:r>
    </w:p>
    <w:p>
      <w:pPr>
        <w:spacing w:after="80" w:before="80" w:line="300"/>
      </w:pPr>
      <w:r>
        <w:rPr>
          <w:rFonts w:ascii="Arial" w:cs="Arial" w:eastAsia="Arial" w:hAnsi="Arial"/>
          <w:color w:val="0F172A"/>
          <w:sz w:val="22"/>
          <w:szCs w:val="22"/>
        </w:rPr>
        <w:t xml:space="preserve">Key structural notes from the schema sketch:</w:t>
      </w:r>
    </w:p>
    <w:p>
      <w:pPr>
        <w:pStyle w:val="ListParagraph"/>
        <w:numPr>
          <w:ilvl w:val="0"/>
          <w:numId w:val="2"/>
        </w:numPr>
        <w:spacing w:after="60" w:before="60" w:line="300"/>
      </w:pPr>
      <w:r>
        <w:rPr>
          <w:rFonts w:ascii="Arial" w:cs="Arial" w:eastAsia="Arial" w:hAnsi="Arial"/>
          <w:b/>
          <w:bCs/>
          <w:color w:val="0F172A"/>
          <w:sz w:val="22"/>
          <w:szCs w:val="22"/>
        </w:rPr>
        <w:t xml:space="preserve">po_line_id is nullable on receipt_lines </w:t>
      </w:r>
      <w:r>
        <w:rPr>
          <w:rFonts w:ascii="Arial" w:cs="Arial" w:eastAsia="Arial" w:hAnsi="Arial"/>
          <w:color w:val="0F172A"/>
          <w:sz w:val="22"/>
          <w:szCs w:val="22"/>
        </w:rPr>
        <w:t xml:space="preserve">to support overages — items received that weren't on the PO.</w:t>
      </w:r>
    </w:p>
    <w:p>
      <w:pPr>
        <w:pStyle w:val="ListParagraph"/>
        <w:numPr>
          <w:ilvl w:val="0"/>
          <w:numId w:val="2"/>
        </w:numPr>
        <w:spacing w:after="60" w:before="60" w:line="300"/>
      </w:pPr>
      <w:r>
        <w:rPr>
          <w:rFonts w:ascii="Arial" w:cs="Arial" w:eastAsia="Arial" w:hAnsi="Arial"/>
          <w:b/>
          <w:bCs/>
          <w:color w:val="0F172A"/>
          <w:sz w:val="22"/>
          <w:szCs w:val="22"/>
        </w:rPr>
        <w:t xml:space="preserve">substituted_for_ingredient_id captures substitutions explicitly. </w:t>
      </w:r>
      <w:r>
        <w:rPr>
          <w:rFonts w:ascii="Arial" w:cs="Arial" w:eastAsia="Arial" w:hAnsi="Arial"/>
          <w:color w:val="0F172A"/>
          <w:sz w:val="22"/>
          <w:szCs w:val="22"/>
        </w:rPr>
        <w:t xml:space="preserve">Both ingredient IDs are preserved (what was ordered, what was received).</w:t>
      </w:r>
    </w:p>
    <w:p>
      <w:pPr>
        <w:pStyle w:val="ListParagraph"/>
        <w:numPr>
          <w:ilvl w:val="0"/>
          <w:numId w:val="2"/>
        </w:numPr>
        <w:spacing w:after="60" w:before="60" w:line="300"/>
      </w:pPr>
      <w:r>
        <w:rPr>
          <w:rFonts w:ascii="Arial" w:cs="Arial" w:eastAsia="Arial" w:hAnsi="Arial"/>
          <w:b/>
          <w:bCs/>
          <w:color w:val="0F172A"/>
          <w:sz w:val="22"/>
          <w:szCs w:val="22"/>
        </w:rPr>
        <w:t xml:space="preserve">llm_extraction_confidence is captured per line. </w:t>
      </w:r>
      <w:r>
        <w:rPr>
          <w:rFonts w:ascii="Arial" w:cs="Arial" w:eastAsia="Arial" w:hAnsi="Arial"/>
          <w:color w:val="0F172A"/>
          <w:sz w:val="22"/>
          <w:szCs w:val="22"/>
        </w:rPr>
        <w:t xml:space="preserve">Even though the owner is the source of truth, capturing the LLM's confidence enables post-hoc analysis of photo-first extraction quality.</w:t>
      </w:r>
    </w:p>
    <w:p>
      <w:pPr>
        <w:pStyle w:val="ListParagraph"/>
        <w:numPr>
          <w:ilvl w:val="0"/>
          <w:numId w:val="2"/>
        </w:numPr>
        <w:spacing w:after="60" w:before="60" w:line="300"/>
      </w:pPr>
      <w:r>
        <w:rPr>
          <w:rFonts w:ascii="Arial" w:cs="Arial" w:eastAsia="Arial" w:hAnsi="Arial"/>
          <w:b/>
          <w:bCs/>
          <w:color w:val="0F172A"/>
          <w:sz w:val="22"/>
          <w:szCs w:val="22"/>
        </w:rPr>
        <w:t xml:space="preserve">inventory_movements.source_id + source_type form a polymorphic link </w:t>
      </w:r>
      <w:r>
        <w:rPr>
          <w:rFonts w:ascii="Arial" w:cs="Arial" w:eastAsia="Arial" w:hAnsi="Arial"/>
          <w:color w:val="0F172A"/>
          <w:sz w:val="22"/>
          <w:szCs w:val="22"/>
        </w:rPr>
        <w:t xml:space="preserve">back to the originating event (sale, receipt_line, manual_adjust). Enables cross-cutting queries for Variance Report, supplier reliability tracking (Phase 2), and price reconciliation (Moat Layer 4, v5 §22).</w:t>
      </w:r>
    </w:p>
    <w:p>
      <w:pPr>
        <w:pStyle w:val="Heading2"/>
        <w:spacing w:after="120" w:before="280"/>
      </w:pPr>
      <w:r>
        <w:rPr>
          <w:rFonts w:ascii="Arial" w:cs="Arial" w:eastAsia="Arial" w:hAnsi="Arial"/>
          <w:b/>
          <w:bCs/>
          <w:color w:val="0F172A"/>
          <w:sz w:val="28"/>
          <w:szCs w:val="28"/>
        </w:rPr>
        <w:t xml:space="preserve">10.2 Variance materialized at commit time — Pattern B</w:t>
      </w:r>
    </w:p>
    <w:p>
      <w:pPr>
        <w:spacing w:after="80" w:before="80" w:line="300"/>
      </w:pPr>
      <w:r>
        <w:rPr>
          <w:rFonts w:ascii="Arial" w:cs="Arial" w:eastAsia="Arial" w:hAnsi="Arial"/>
          <w:color w:val="0F172A"/>
          <w:sz w:val="22"/>
          <w:szCs w:val="22"/>
        </w:rPr>
        <w:t xml:space="preserve">Quantity variance is computed at receipt commit and stored as a column on receipt_lines. Subsequent queries read pre-computed values. Receipt edits (per Lock 6.24) recompute affected variance lines as part of the same atomic transaction. Pattern C (database view layer for ad-hoc analysis) deferred to Phase 2 if it becomes a real need.</w:t>
      </w:r>
    </w:p>
    <w:p>
      <w:pPr>
        <w:spacing w:after="80" w:before="80" w:line="300"/>
      </w:pPr>
      <w:r>
        <w:rPr>
          <w:rFonts w:ascii="Arial" w:cs="Arial" w:eastAsia="Arial" w:hAnsi="Arial"/>
          <w:color w:val="0F172A"/>
          <w:sz w:val="22"/>
          <w:szCs w:val="22"/>
        </w:rPr>
        <w:t xml:space="preserve">v5 §33.3 explicitly called out that variance against expected vs. received feeds two future systems: supplier reliability tracking (Phase 2) and price reconciliation (Moat Layer 4). Materializing variance at commit time keeps both queries cheap.</w:t>
      </w:r>
    </w:p>
    <w:p>
      <w:pPr>
        <w:pStyle w:val="Heading2"/>
        <w:spacing w:after="120" w:before="280"/>
      </w:pPr>
      <w:r>
        <w:rPr>
          <w:rFonts w:ascii="Arial" w:cs="Arial" w:eastAsia="Arial" w:hAnsi="Arial"/>
          <w:b/>
          <w:bCs/>
          <w:color w:val="0F172A"/>
          <w:sz w:val="28"/>
          <w:szCs w:val="28"/>
        </w:rPr>
        <w:t xml:space="preserve">10.3 The PO state machine — 8 states</w:t>
      </w:r>
    </w:p>
    <w:p>
      <w:pPr>
        <w:spacing w:after="80" w:before="80" w:line="300"/>
      </w:pPr>
      <w:r>
        <w:rPr>
          <w:rFonts w:ascii="Arial" w:cs="Arial" w:eastAsia="Arial" w:hAnsi="Arial"/>
          <w:color w:val="0F172A"/>
          <w:sz w:val="22"/>
          <w:szCs w:val="22"/>
        </w:rPr>
        <w:t xml:space="preserve">See Section 12 (Architectural diagrams) for the full state diagram. The state machine has 8 states with strict transition rules. Three load-bearing decisions:</w:t>
      </w:r>
    </w:p>
    <w:p>
      <w:pPr>
        <w:pStyle w:val="ListParagraph"/>
        <w:numPr>
          <w:ilvl w:val="0"/>
          <w:numId w:val="2"/>
        </w:numPr>
        <w:spacing w:after="60" w:before="60" w:line="300"/>
      </w:pPr>
      <w:r>
        <w:rPr>
          <w:rFonts w:ascii="Arial" w:cs="Arial" w:eastAsia="Arial" w:hAnsi="Arial"/>
          <w:b/>
          <w:bCs/>
          <w:color w:val="0F172A"/>
          <w:sz w:val="22"/>
          <w:szCs w:val="22"/>
        </w:rPr>
        <w:t xml:space="preserve">partially_received is a separate state from received. </w:t>
      </w:r>
      <w:r>
        <w:rPr>
          <w:rFonts w:ascii="Arial" w:cs="Arial" w:eastAsia="Arial" w:hAnsi="Arial"/>
          <w:color w:val="0F172A"/>
          <w:sz w:val="22"/>
          <w:szCs w:val="22"/>
        </w:rPr>
        <w:t xml:space="preserve">The operational difference matters — partially_received POs surface higher on the Orders page (they may need follow-up — owner calls supplier, disputes a charge), and Phase 2 supplier reliability tracking treats them as a distinct event type.</w:t>
      </w:r>
    </w:p>
    <w:p>
      <w:pPr>
        <w:pStyle w:val="ListParagraph"/>
        <w:numPr>
          <w:ilvl w:val="0"/>
          <w:numId w:val="2"/>
        </w:numPr>
        <w:spacing w:after="60" w:before="60" w:line="300"/>
      </w:pPr>
      <w:r>
        <w:rPr>
          <w:rFonts w:ascii="Arial" w:cs="Arial" w:eastAsia="Arial" w:hAnsi="Arial"/>
          <w:b/>
          <w:bCs/>
          <w:color w:val="0F172A"/>
          <w:sz w:val="22"/>
          <w:szCs w:val="22"/>
        </w:rPr>
        <w:t xml:space="preserve">"Didn't arrive" → cancel path. </w:t>
      </w:r>
      <w:r>
        <w:rPr>
          <w:rFonts w:ascii="Arial" w:cs="Arial" w:eastAsia="Arial" w:hAnsi="Arial"/>
          <w:color w:val="0F172A"/>
          <w:sz w:val="22"/>
          <w:szCs w:val="22"/>
        </w:rPr>
        <w:t xml:space="preserve">When the owner taps "Didn't arrive" on the Dashboard card, the PO transitions to failed_delivery (terminal). The agent's next nightly run re-includes missing ingredients in fresh forecasts. Reasoning: rescheduling assumes the owner knows when the new delivery is coming, which they often don't. Letting the agent re-order deterministically from current inventory is cleaner.</w:t>
      </w:r>
    </w:p>
    <w:p>
      <w:pPr>
        <w:pStyle w:val="ListParagraph"/>
        <w:numPr>
          <w:ilvl w:val="0"/>
          <w:numId w:val="2"/>
        </w:numPr>
        <w:spacing w:after="60" w:before="60" w:line="300"/>
      </w:pPr>
      <w:r>
        <w:rPr>
          <w:rFonts w:ascii="Arial" w:cs="Arial" w:eastAsia="Arial" w:hAnsi="Arial"/>
          <w:b/>
          <w:bCs/>
          <w:color w:val="0F172A"/>
          <w:sz w:val="22"/>
          <w:szCs w:val="22"/>
        </w:rPr>
        <w:t xml:space="preserve">Dispatched is locked from in-app edits. </w:t>
      </w:r>
      <w:r>
        <w:rPr>
          <w:rFonts w:ascii="Arial" w:cs="Arial" w:eastAsia="Arial" w:hAnsi="Arial"/>
          <w:color w:val="0F172A"/>
          <w:sz w:val="22"/>
          <w:szCs w:val="22"/>
        </w:rPr>
        <w:t xml:space="preserve">Once a PO is sent to a supplier, edits are out-of-band (phone call). v1's app reflects that contractual reality. Variances at receiving capture any actual delivery differences.</w:t>
      </w:r>
    </w:p>
    <w:p>
      <w:pPr>
        <w:pStyle w:val="Heading2"/>
        <w:spacing w:after="120" w:before="280"/>
      </w:pPr>
      <w:r>
        <w:rPr>
          <w:rFonts w:ascii="Arial" w:cs="Arial" w:eastAsia="Arial" w:hAnsi="Arial"/>
          <w:b/>
          <w:bCs/>
          <w:color w:val="0F172A"/>
          <w:sz w:val="28"/>
          <w:szCs w:val="28"/>
        </w:rPr>
        <w:t xml:space="preserve">10.4 Round 6c lock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6300"/>
        <w:gridCol w:w="2280"/>
      </w:tblGrid>
      <w:tr>
        <w:trPr>
          <w:tblHeader/>
        </w:trPr>
        <w:tc>
          <w:tcPr>
            <w:tcW w:type="dxa" w:w="78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w:t>
            </w:r>
          </w:p>
        </w:tc>
        <w:tc>
          <w:tcPr>
            <w:tcW w:type="dxa" w:w="63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Decision</w:t>
            </w:r>
          </w:p>
        </w:tc>
        <w:tc>
          <w:tcPr>
            <w:tcW w:type="dxa" w:w="228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Status</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6.25</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Receipts data model: Shape C. Receipts as first-class objects (receipts + receipt_lines) AND inventory_movements as unified ledger.</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6.26</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Every inventory mutation writes to inventory_movements with typed movement_type (sale_depletion, receipt, manual_adjust, waste, transfer).</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6.27</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Receipt commit is one atomic transaction across receipts + receipt_lines + inventory_movements. Edit-after-commit is atomic across all three.</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6.28</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receipt_lines.po_line_id is nullable to support overages.</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6.29</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receipt_lines.substituted_for_ingredient_id captures the substitution case explicitly — both ingredient IDs preserved.</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6.30</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receipt_lines.llm_extraction_confidence captured per line for post-hoc analysis.</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6.31</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inventory_movements.source_id + source_type form polymorphic link back to originating event. Enables Variance Report, supplier reliability (Phase 2), price reconciliation (Moat Layer 4).</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6.32</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Unified ledger pattern is load-bearing — constrains how all future inventory-mutating features must be built. No direct UPDATE on inventory_items.current_quantity from anywhere in the codebase.</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 as cross-cutting principle</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6.33</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Variance computation: Pattern B. Materialized at commit time on receipt_lines.</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6.34</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quantity_variance computed at commit as (quantity_ordered − quantity_received). Null for overages.</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6.35</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value_variance reserved for Phase 2 (when ordered_price and received_price are captured for Moat Layer 4 price reconciliation).</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1E40AF"/>
                <w:sz w:val="20"/>
                <w:szCs w:val="20"/>
              </w:rPr>
              <w:t xml:space="preserve">Logged for Phase 2</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6.36</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Receipt edits recompute variance for affected lines as part of the same atomic transaction.</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6.37</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Pattern C (database view layer) deferred to Phase 2 if ad-hoc analysis becomes a need.</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1E40AF"/>
                <w:sz w:val="20"/>
                <w:szCs w:val="20"/>
              </w:rPr>
              <w:t xml:space="preserve">Logged for Phase 2</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6.38</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PO state machine has 8 states: draft, approved, dispatched, awaiting_receipt, received, partially_received, failed_delivery, canceled.</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6.39</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partially_received is a separate state from received. Surfaces higher on Orders page; carries different badge.</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6.40</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"Didn't arrive" Dashboard action transitions PO to failed_delivery (terminal). Agent re-includes missing ingredients in next nightly run.</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6.41</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Phase 2: "uncancel — supplier rescheduled" affordance for failed_delivery POs that are later fulfilled. Deferred for v1.</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1E40AF"/>
                <w:sz w:val="20"/>
                <w:szCs w:val="20"/>
              </w:rPr>
              <w:t xml:space="preserve">Logged for Phase 2</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6.42</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Dispatched is locked for v1 — POs cannot be edited in-app once sent to supplier. Edits are out-of-band.</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6.43</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Phase 2: in-app "send update to supplier" affordance for dispatched POs. Requires multi-channel update logic not in v5 §21.</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1E40AF"/>
                <w:sz w:val="20"/>
                <w:szCs w:val="20"/>
              </w:rPr>
              <w:t xml:space="preserve">Logged for Phase 2</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6.44</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Cancel is permitted from draft, approved, dispatched, awaiting_receipt, failed_delivery. NOT from received or partially_received — those have already mutated inventory.</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bl>
    <w:p>
      <w:r>
        <w:br w:type="page"/>
      </w:r>
    </w:p>
    <w:p>
      <w:pPr>
        <w:pStyle w:val="Heading1"/>
        <w:spacing w:after="160" w:before="360"/>
      </w:pPr>
      <w:r>
        <w:rPr>
          <w:rFonts w:ascii="Arial" w:cs="Arial" w:eastAsia="Arial" w:hAnsi="Arial"/>
          <w:b/>
          <w:bCs/>
          <w:color w:val="0F172A"/>
          <w:sz w:val="36"/>
          <w:szCs w:val="36"/>
        </w:rPr>
        <w:t xml:space="preserve">11. Round 6d: Agent architecture (batch + synchronous)</w:t>
      </w:r>
    </w:p>
    <w:p>
      <w:pPr>
        <w:pStyle w:val="Heading2"/>
        <w:spacing w:after="120" w:before="280"/>
      </w:pPr>
      <w:r>
        <w:rPr>
          <w:rFonts w:ascii="Arial" w:cs="Arial" w:eastAsia="Arial" w:hAnsi="Arial"/>
          <w:b/>
          <w:bCs/>
          <w:color w:val="0F172A"/>
          <w:sz w:val="28"/>
          <w:szCs w:val="28"/>
        </w:rPr>
        <w:t xml:space="preserve">11.1 Model C — what the agent is, architecturally</w:t>
      </w:r>
    </w:p>
    <w:p>
      <w:pPr>
        <w:spacing w:after="80" w:before="80" w:line="300"/>
      </w:pPr>
      <w:r>
        <w:rPr>
          <w:rFonts w:ascii="Arial" w:cs="Arial" w:eastAsia="Arial" w:hAnsi="Arial"/>
          <w:color w:val="0F172A"/>
          <w:sz w:val="22"/>
          <w:szCs w:val="22"/>
        </w:rPr>
        <w:t xml:space="preserve">The agent is two things, not one: a nightly batch process that runs the forecast/PO pipeline at 2am tenant-local, plus a bounded set of synchronous event handlers that mutate inventory and update timelines in response to specific events. See Section 12 for the architectural diagram.</w:t>
      </w:r>
    </w:p>
    <w:p>
      <w:pPr>
        <w:pStyle w:val="Heading2"/>
        <w:spacing w:after="120" w:before="280"/>
      </w:pPr>
      <w:r>
        <w:rPr>
          <w:rFonts w:ascii="Arial" w:cs="Arial" w:eastAsia="Arial" w:hAnsi="Arial"/>
          <w:b/>
          <w:bCs/>
          <w:color w:val="0F172A"/>
          <w:sz w:val="28"/>
          <w:szCs w:val="28"/>
        </w:rPr>
        <w:t xml:space="preserve">11.2 What runs nightly (the batch)</w:t>
      </w:r>
    </w:p>
    <w:p>
      <w:pPr>
        <w:spacing w:after="80" w:before="80" w:line="300"/>
      </w:pPr>
      <w:r>
        <w:rPr>
          <w:rFonts w:ascii="Arial" w:cs="Arial" w:eastAsia="Arial" w:hAnsi="Arial"/>
          <w:color w:val="0F172A"/>
          <w:sz w:val="22"/>
          <w:szCs w:val="22"/>
        </w:rPr>
        <w:t xml:space="preserve">Authoritative agent actions happen ONLY in the nightly run:</w:t>
      </w:r>
    </w:p>
    <w:p>
      <w:pPr>
        <w:pStyle w:val="ListParagraph"/>
        <w:numPr>
          <w:ilvl w:val="0"/>
          <w:numId w:val="2"/>
        </w:numPr>
        <w:spacing w:after="60" w:before="60" w:line="300"/>
      </w:pPr>
      <w:r>
        <w:rPr>
          <w:rFonts w:ascii="Arial" w:cs="Arial" w:eastAsia="Arial" w:hAnsi="Arial"/>
          <w:color w:val="0F172A"/>
          <w:sz w:val="22"/>
          <w:szCs w:val="22"/>
        </w:rPr>
        <w:t xml:space="preserve">Pull current inventory state, recipes, suppliers, trailing 14d depletion</w:t>
      </w:r>
    </w:p>
    <w:p>
      <w:pPr>
        <w:pStyle w:val="ListParagraph"/>
        <w:numPr>
          <w:ilvl w:val="0"/>
          <w:numId w:val="2"/>
        </w:numPr>
        <w:spacing w:after="60" w:before="60" w:line="300"/>
      </w:pPr>
      <w:r>
        <w:rPr>
          <w:rFonts w:ascii="Arial" w:cs="Arial" w:eastAsia="Arial" w:hAnsi="Arial"/>
          <w:color w:val="0F172A"/>
          <w:sz w:val="22"/>
          <w:szCs w:val="22"/>
        </w:rPr>
        <w:t xml:space="preserve">Refresh external signals: canada-holidays.ca, Calendarific, Open-Meteo, Ticketmaster within radius</w:t>
      </w:r>
    </w:p>
    <w:p>
      <w:pPr>
        <w:pStyle w:val="ListParagraph"/>
        <w:numPr>
          <w:ilvl w:val="0"/>
          <w:numId w:val="2"/>
        </w:numPr>
        <w:spacing w:after="60" w:before="60" w:line="300"/>
      </w:pPr>
      <w:r>
        <w:rPr>
          <w:rFonts w:ascii="Arial" w:cs="Arial" w:eastAsia="Arial" w:hAnsi="Arial"/>
          <w:color w:val="0F172A"/>
          <w:sz w:val="22"/>
          <w:szCs w:val="22"/>
        </w:rPr>
        <w:t xml:space="preserve">Run the deterministic forecast pipeline (Method C decomposition: trend + weekly + holidays + weather + events; 14-day horizon, hourly granularity during business hours)</w:t>
      </w:r>
    </w:p>
    <w:p>
      <w:pPr>
        <w:pStyle w:val="ListParagraph"/>
        <w:numPr>
          <w:ilvl w:val="0"/>
          <w:numId w:val="2"/>
        </w:numPr>
        <w:spacing w:after="60" w:before="60" w:line="300"/>
      </w:pPr>
      <w:r>
        <w:rPr>
          <w:rFonts w:ascii="Arial" w:cs="Arial" w:eastAsia="Arial" w:hAnsi="Arial"/>
          <w:color w:val="0F172A"/>
          <w:sz w:val="22"/>
          <w:szCs w:val="22"/>
        </w:rPr>
        <w:t xml:space="preserve">Generate per-ingredient depletion timeline with confidence intervals</w:t>
      </w:r>
    </w:p>
    <w:p>
      <w:pPr>
        <w:pStyle w:val="ListParagraph"/>
        <w:numPr>
          <w:ilvl w:val="0"/>
          <w:numId w:val="2"/>
        </w:numPr>
        <w:spacing w:after="60" w:before="60" w:line="300"/>
      </w:pPr>
      <w:r>
        <w:rPr>
          <w:rFonts w:ascii="Arial" w:cs="Arial" w:eastAsia="Arial" w:hAnsi="Arial"/>
          <w:color w:val="0F172A"/>
          <w:sz w:val="22"/>
          <w:szCs w:val="22"/>
        </w:rPr>
        <w:t xml:space="preserve">Draft POs grouped by supplier, respecting MOQ and delivery cadence, with templated reasoning traces</w:t>
      </w:r>
    </w:p>
    <w:p>
      <w:pPr>
        <w:pStyle w:val="ListParagraph"/>
        <w:numPr>
          <w:ilvl w:val="0"/>
          <w:numId w:val="2"/>
        </w:numPr>
        <w:spacing w:after="60" w:before="60" w:line="300"/>
      </w:pPr>
      <w:r>
        <w:rPr>
          <w:rFonts w:ascii="Arial" w:cs="Arial" w:eastAsia="Arial" w:hAnsi="Arial"/>
          <w:color w:val="0F172A"/>
          <w:sz w:val="22"/>
          <w:szCs w:val="22"/>
        </w:rPr>
        <w:t xml:space="preserve">Schedule push notifications via OS notification API for all newly-drafted POs</w:t>
      </w:r>
    </w:p>
    <w:p>
      <w:pPr>
        <w:pStyle w:val="ListParagraph"/>
        <w:numPr>
          <w:ilvl w:val="0"/>
          <w:numId w:val="2"/>
        </w:numPr>
        <w:spacing w:after="60" w:before="60" w:line="300"/>
      </w:pPr>
      <w:r>
        <w:rPr>
          <w:rFonts w:ascii="Arial" w:cs="Arial" w:eastAsia="Arial" w:hAnsi="Arial"/>
          <w:color w:val="0F172A"/>
          <w:sz w:val="22"/>
          <w:szCs w:val="22"/>
        </w:rPr>
        <w:t xml:space="preserve">Apply time-based PO state transitions (dispatched → awaiting_receipt when delivery date arrives)</w:t>
      </w:r>
    </w:p>
    <w:p>
      <w:pPr>
        <w:pStyle w:val="ListParagraph"/>
        <w:numPr>
          <w:ilvl w:val="0"/>
          <w:numId w:val="2"/>
        </w:numPr>
        <w:spacing w:after="60" w:before="60" w:line="300"/>
      </w:pPr>
      <w:r>
        <w:rPr>
          <w:rFonts w:ascii="Arial" w:cs="Arial" w:eastAsia="Arial" w:hAnsi="Arial"/>
          <w:color w:val="0F172A"/>
          <w:sz w:val="22"/>
          <w:szCs w:val="22"/>
        </w:rPr>
        <w:t xml:space="preserve">Apply calibration from yield learning and PO feedback signals</w:t>
      </w:r>
    </w:p>
    <w:p>
      <w:pPr>
        <w:pStyle w:val="Heading2"/>
        <w:spacing w:after="120" w:before="280"/>
      </w:pPr>
      <w:r>
        <w:rPr>
          <w:rFonts w:ascii="Arial" w:cs="Arial" w:eastAsia="Arial" w:hAnsi="Arial"/>
          <w:b/>
          <w:bCs/>
          <w:color w:val="0F172A"/>
          <w:sz w:val="28"/>
          <w:szCs w:val="28"/>
        </w:rPr>
        <w:t xml:space="preserve">11.3 What runs synchronously (the handlers)</w:t>
      </w:r>
    </w:p>
    <w:p>
      <w:pPr>
        <w:spacing w:after="80" w:before="80" w:line="300"/>
      </w:pPr>
      <w:r>
        <w:rPr>
          <w:rFonts w:ascii="Arial" w:cs="Arial" w:eastAsia="Arial" w:hAnsi="Arial"/>
          <w:color w:val="0F172A"/>
          <w:sz w:val="22"/>
          <w:szCs w:val="22"/>
        </w:rPr>
        <w:t xml:space="preserve">Pre-defined deterministic state mutations triggered by specific events. The set is bounded and explicit: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Handler</w:t>
            </w:r>
          </w:p>
        </w:tc>
        <w:tc>
          <w:tcPr>
            <w:tcW w:type="dxa" w:w="28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Trigger</w:t>
            </w:r>
          </w:p>
        </w:tc>
        <w:tc>
          <w:tcPr>
            <w:tcW w:type="dxa" w:w="416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Effect</w:t>
            </w:r>
          </w:p>
        </w:tc>
      </w:tr>
      <w:tr>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handle_sale_depletion</w:t>
            </w:r>
          </w:p>
        </w:tc>
        <w:tc>
          <w:tcPr>
            <w:tcW w:type="dxa" w:w="2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POS webhook fires</w:t>
            </w:r>
          </w:p>
        </w:tc>
        <w:tc>
          <w:tcPr>
            <w:tcW w:type="dxa" w:w="41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Recipe lookup → compute delta → write inventory_movement (sale_depletion)</w:t>
            </w:r>
          </w:p>
        </w:tc>
      </w:tr>
      <w:tr>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handle_receipt_commit</w:t>
            </w:r>
          </w:p>
        </w:tc>
        <w:tc>
          <w:tcPr>
            <w:tcW w:type="dxa" w:w="2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Owner submits receipt</w:t>
            </w:r>
          </w:p>
        </w:tc>
        <w:tc>
          <w:tcPr>
            <w:tcW w:type="dxa" w:w="41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Atomic write to receipts + receipt_lines + inventory_movements; recompute affected ingredient timeline</w:t>
            </w:r>
          </w:p>
        </w:tc>
      </w:tr>
      <w:tr>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handle_manual_adjust</w:t>
            </w:r>
          </w:p>
        </w:tc>
        <w:tc>
          <w:tcPr>
            <w:tcW w:type="dxa" w:w="2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Owner edits inventory directly</w:t>
            </w:r>
          </w:p>
        </w:tc>
        <w:tc>
          <w:tcPr>
            <w:tcW w:type="dxa" w:w="41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Write inventory_movement (manual_adjust); recompute timeline for that ingredient</w:t>
            </w:r>
          </w:p>
        </w:tc>
      </w:tr>
      <w:tr>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handle_po_state_change</w:t>
            </w:r>
          </w:p>
        </w:tc>
        <w:tc>
          <w:tcPr>
            <w:tcW w:type="dxa" w:w="2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Owner action on PO (approve, dispatch, cancel, mark didn't-arrive)</w:t>
            </w:r>
          </w:p>
        </w:tc>
        <w:tc>
          <w:tcPr>
            <w:tcW w:type="dxa" w:w="41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Update PO state machine; cancel/reschedule scheduled pushes; emit notifications if needed</w:t>
            </w:r>
          </w:p>
        </w:tc>
      </w:tr>
      <w:tr>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app-open queries</w:t>
            </w:r>
          </w:p>
        </w:tc>
        <w:tc>
          <w:tcPr>
            <w:tcW w:type="dxa" w:w="2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Owner opens app</w:t>
            </w:r>
          </w:p>
        </w:tc>
        <w:tc>
          <w:tcPr>
            <w:tcW w:type="dxa" w:w="41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Compute Orders page badges, Dashboard escalation card state, "action needed" priority sorting</w:t>
            </w:r>
          </w:p>
        </w:tc>
      </w:tr>
    </w:tbl>
    <w:p>
      <w:pPr>
        <w:pStyle w:val="Heading2"/>
        <w:spacing w:after="120" w:before="280"/>
      </w:pPr>
      <w:r>
        <w:rPr>
          <w:rFonts w:ascii="Arial" w:cs="Arial" w:eastAsia="Arial" w:hAnsi="Arial"/>
          <w:b/>
          <w:bCs/>
          <w:color w:val="0F172A"/>
          <w:sz w:val="28"/>
          <w:szCs w:val="28"/>
        </w:rPr>
        <w:t xml:space="preserve">11.4 What synchronous handlers explicitly DO NOT do</w:t>
      </w:r>
    </w:p>
    <w:p>
      <w:pPr>
        <w:spacing w:after="80" w:before="80" w:line="300"/>
      </w:pPr>
      <w:r>
        <w:rPr>
          <w:rFonts w:ascii="Arial" w:cs="Arial" w:eastAsia="Arial" w:hAnsi="Arial"/>
          <w:color w:val="0F172A"/>
          <w:sz w:val="22"/>
          <w:szCs w:val="22"/>
        </w:rPr>
        <w:t xml:space="preserve">Lock 6.47 specifies the boundary precisely:</w:t>
      </w:r>
    </w:p>
    <w:p>
      <w:pPr>
        <w:pStyle w:val="ListParagraph"/>
        <w:numPr>
          <w:ilvl w:val="0"/>
          <w:numId w:val="2"/>
        </w:numPr>
        <w:spacing w:after="60" w:before="60" w:line="300"/>
      </w:pPr>
      <w:r>
        <w:rPr>
          <w:rFonts w:ascii="Arial" w:cs="Arial" w:eastAsia="Arial" w:hAnsi="Arial"/>
          <w:color w:val="0F172A"/>
          <w:sz w:val="22"/>
          <w:szCs w:val="22"/>
        </w:rPr>
        <w:t xml:space="preserve">Do NOT run forecast math (that's the nightly pipeline)</w:t>
      </w:r>
    </w:p>
    <w:p>
      <w:pPr>
        <w:pStyle w:val="ListParagraph"/>
        <w:numPr>
          <w:ilvl w:val="0"/>
          <w:numId w:val="2"/>
        </w:numPr>
        <w:spacing w:after="60" w:before="60" w:line="300"/>
      </w:pPr>
      <w:r>
        <w:rPr>
          <w:rFonts w:ascii="Arial" w:cs="Arial" w:eastAsia="Arial" w:hAnsi="Arial"/>
          <w:color w:val="0F172A"/>
          <w:sz w:val="22"/>
          <w:szCs w:val="22"/>
        </w:rPr>
        <w:t xml:space="preserve">Do NOT call LLMs (that's only at locked input-boundary surfaces)</w:t>
      </w:r>
    </w:p>
    <w:p>
      <w:pPr>
        <w:pStyle w:val="ListParagraph"/>
        <w:numPr>
          <w:ilvl w:val="0"/>
          <w:numId w:val="2"/>
        </w:numPr>
        <w:spacing w:after="60" w:before="60" w:line="300"/>
      </w:pPr>
      <w:r>
        <w:rPr>
          <w:rFonts w:ascii="Arial" w:cs="Arial" w:eastAsia="Arial" w:hAnsi="Arial"/>
          <w:color w:val="0F172A"/>
          <w:sz w:val="22"/>
          <w:szCs w:val="22"/>
        </w:rPr>
        <w:t xml:space="preserve">Do NOT draft new POs (those wait for nightly batch — owner intent matches this; ordering is a daily-rhythm activity)</w:t>
      </w:r>
    </w:p>
    <w:p>
      <w:pPr>
        <w:pStyle w:val="ListParagraph"/>
        <w:numPr>
          <w:ilvl w:val="0"/>
          <w:numId w:val="2"/>
        </w:numPr>
        <w:spacing w:after="60" w:before="60" w:line="300"/>
      </w:pPr>
      <w:r>
        <w:rPr>
          <w:rFonts w:ascii="Arial" w:cs="Arial" w:eastAsia="Arial" w:hAnsi="Arial"/>
          <w:color w:val="0F172A"/>
          <w:sz w:val="22"/>
          <w:szCs w:val="22"/>
        </w:rPr>
        <w:t xml:space="preserve">Do NOT recalibrate forecast parameters (that aggregates multiple events; happens nightly)</w:t>
      </w:r>
    </w:p>
    <w:p>
      <w:pPr>
        <w:spacing w:after="80" w:before="80" w:line="300"/>
      </w:pPr>
      <w:r>
        <w:rPr>
          <w:rFonts w:ascii="Arial" w:cs="Arial" w:eastAsia="Arial" w:hAnsi="Arial"/>
          <w:color w:val="0F172A"/>
          <w:sz w:val="22"/>
          <w:szCs w:val="22"/>
        </w:rPr>
        <w:t xml:space="preserve">This boundary is what makes Lock 2.1 (determinism) hold cleanly. Above the boundary: complex deterministic pipeline once per night. Below the boundary: simple deterministic state mutations in real time.</w:t>
      </w:r>
    </w:p>
    <w:p>
      <w:pPr>
        <w:pStyle w:val="Heading2"/>
        <w:spacing w:after="120" w:before="280"/>
      </w:pPr>
      <w:r>
        <w:rPr>
          <w:rFonts w:ascii="Arial" w:cs="Arial" w:eastAsia="Arial" w:hAnsi="Arial"/>
          <w:b/>
          <w:bCs/>
          <w:color w:val="0F172A"/>
          <w:sz w:val="28"/>
          <w:szCs w:val="28"/>
        </w:rPr>
        <w:t xml:space="preserve">11.5 Notification cycle — Pattern C</w:t>
      </w:r>
    </w:p>
    <w:p>
      <w:pPr>
        <w:spacing w:after="80" w:before="80" w:line="300"/>
      </w:pPr>
      <w:r>
        <w:rPr>
          <w:rFonts w:ascii="Arial" w:cs="Arial" w:eastAsia="Arial" w:hAnsi="Arial"/>
          <w:color w:val="0F172A"/>
          <w:sz w:val="22"/>
          <w:szCs w:val="22"/>
        </w:rPr>
        <w:t xml:space="preserve">Push notifications are scheduled at exact future times by the nightly batch via the iOS UNUserNotificationCenter (or Android equivalent). The OS handles actual firing. No always-running scheduler on the backend, no per-hour cron.</w:t>
      </w:r>
    </w:p>
    <w:p>
      <w:pPr>
        <w:spacing w:after="80" w:before="80" w:line="300"/>
      </w:pPr>
      <w:r>
        <w:rPr>
          <w:rFonts w:ascii="Arial" w:cs="Arial" w:eastAsia="Arial" w:hAnsi="Arial"/>
          <w:color w:val="0F172A"/>
          <w:sz w:val="22"/>
          <w:szCs w:val="22"/>
        </w:rPr>
        <w:t xml:space="preserve">Surface state (Orders page badges, Dashboard escalation cards, "action needed" priority) is computed synchronously when the owner opens the app or navigates to a relevant screen. App-open queries return current state based on real time vs. expected_delivery_date — always fresh, no staleness gap.</w:t>
      </w:r>
    </w:p>
    <w:p>
      <w:pPr>
        <w:spacing w:after="80" w:before="80" w:line="300"/>
      </w:pPr>
      <w:r>
        <w:rPr>
          <w:rFonts w:ascii="Arial" w:cs="Arial" w:eastAsia="Arial" w:hAnsi="Arial"/>
          <w:color w:val="0F172A"/>
          <w:sz w:val="22"/>
          <w:szCs w:val="22"/>
        </w:rPr>
        <w:t xml:space="preserve">If a PO state changes between nightly runs (owner approves, receipt commits, owner cancels), scheduled pushes are canceled or rescheduled by handle_po_state_change synchronously. This is the kind of state-coupling that keeps notification UX clean.</w:t>
      </w:r>
    </w:p>
    <w:p>
      <w:pPr>
        <w:pStyle w:val="Heading2"/>
        <w:spacing w:after="120" w:before="280"/>
      </w:pPr>
      <w:r>
        <w:rPr>
          <w:rFonts w:ascii="Arial" w:cs="Arial" w:eastAsia="Arial" w:hAnsi="Arial"/>
          <w:b/>
          <w:bCs/>
          <w:color w:val="0F172A"/>
          <w:sz w:val="28"/>
          <w:szCs w:val="28"/>
        </w:rPr>
        <w:t xml:space="preserve">11.6 Round 6d lock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6300"/>
        <w:gridCol w:w="2280"/>
      </w:tblGrid>
      <w:tr>
        <w:trPr>
          <w:tblHeader/>
        </w:trPr>
        <w:tc>
          <w:tcPr>
            <w:tcW w:type="dxa" w:w="78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w:t>
            </w:r>
          </w:p>
        </w:tc>
        <w:tc>
          <w:tcPr>
            <w:tcW w:type="dxa" w:w="63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Decision</w:t>
            </w:r>
          </w:p>
        </w:tc>
        <w:tc>
          <w:tcPr>
            <w:tcW w:type="dxa" w:w="228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Status</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6.45</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Agent architecture: Model C. Nightly batch process for forecast/PO pipeline + bounded set of synchronous event handlers for inventory mutations.</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6.46</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Synchronous event handlers (v1 scope): handle_sale_depletion, handle_receipt_commit, handle_manual_adjust, handle_po_state_change, plus app-open queries.</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6.47</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Synchronous handlers do NOT run forecast math, do NOT call LLMs, do NOT draft new POs.</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6.48</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Authoritative agent actions (forecast pipeline, PO drafting, parameter recalibration, full timeline regeneration) happen ONLY in nightly batch.</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6.49</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The boundary between sync and nightly is the determinism boundary. Lock 2.1 holds at both layers.</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6.50</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"Feels responsive" property is bounded to inventory state. Ordering decisions deliberately follow nightly cadence — matches how restaurants operate.</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6.51</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Time-based PO state transitions (dispatched → awaiting_receipt) run as part of nightly batch, not separate scheduler.</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6.52</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Notification cycle: Pattern C. Nightly batch schedules push notifications via OS notification API. Surface state computed synchronously at app-open.</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6.53</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When agent drafts a PO at 2am, it immediately schedules two pushes via iOS UNUserNotificationCenter (or Android equivalent): "day-of 9am" + "day-after 9am".</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6.54</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Orders page badge state, Dashboard escalation card state, and priority sorting computed synchronously at app-open. No staleness, no gap.</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6.55</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If a PO state changes between nightly runs, scheduled pushes are canceled or rescheduled synchronously by handle_po_state_change.</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6.56</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Operationally: no per-hour scheduler, no hourly cron, no always-running notification daemon. Nightly batch + OS scheduling + app-open queries together cover all timing requirements.</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bl>
    <w:p>
      <w:r>
        <w:br w:type="page"/>
      </w:r>
    </w:p>
    <w:p>
      <w:pPr>
        <w:pStyle w:val="Heading1"/>
        <w:spacing w:after="160" w:before="360"/>
      </w:pPr>
      <w:r>
        <w:rPr>
          <w:rFonts w:ascii="Arial" w:cs="Arial" w:eastAsia="Arial" w:hAnsi="Arial"/>
          <w:b/>
          <w:bCs/>
          <w:color w:val="0F172A"/>
          <w:sz w:val="36"/>
          <w:szCs w:val="36"/>
        </w:rPr>
        <w:t xml:space="preserve">12. Architectural diagrams</w:t>
      </w:r>
    </w:p>
    <w:p>
      <w:pPr>
        <w:spacing w:after="80" w:before="80" w:line="300"/>
      </w:pPr>
      <w:r>
        <w:rPr>
          <w:rFonts w:ascii="Arial" w:cs="Arial" w:eastAsia="Arial" w:hAnsi="Arial"/>
          <w:color w:val="0F172A"/>
          <w:sz w:val="22"/>
          <w:szCs w:val="22"/>
        </w:rPr>
        <w:t xml:space="preserve">Two diagrams visualize the load-bearing decisions from Round 6 — the PO state machine (Round 6c) and the agent architecture (Round 6d). Both are derived directly from the lock tables above. If a diagram and a lock disagree, the lock wins.</w:t>
      </w:r>
    </w:p>
    <w:p>
      <w:pPr>
        <w:pStyle w:val="Heading2"/>
        <w:spacing w:after="120" w:before="280"/>
      </w:pPr>
      <w:r>
        <w:rPr>
          <w:rFonts w:ascii="Arial" w:cs="Arial" w:eastAsia="Arial" w:hAnsi="Arial"/>
          <w:b/>
          <w:bCs/>
          <w:color w:val="0F172A"/>
          <w:sz w:val="28"/>
          <w:szCs w:val="28"/>
        </w:rPr>
        <w:t xml:space="preserve">12.1 Purchase Order state machine</w:t>
      </w:r>
    </w:p>
    <w:p>
      <w:pPr>
        <w:spacing w:after="80" w:before="80" w:line="300"/>
      </w:pPr>
      <w:r>
        <w:rPr>
          <w:rFonts w:ascii="Arial" w:cs="Arial" w:eastAsia="Arial" w:hAnsi="Arial"/>
          <w:color w:val="0F172A"/>
          <w:sz w:val="22"/>
          <w:szCs w:val="22"/>
        </w:rPr>
        <w:t xml:space="preserve">All 8 states with all valid transitions. Forward actions in green, automatic transitions in gray, cancel paths in dashed red. Terminal states marked. Edit-after-commit (Lock 6.24) is the dashed gray path from partially_received back to received.</w:t>
      </w:r>
    </w:p>
    <w:p>
      <w:pPr>
        <w:spacing w:after="160" w:before="160"/>
        <w:jc w:val="center"/>
      </w:pPr>
      <w:r>
        <w:drawing>
          <wp:inline distT="0" distB="0" distL="0" distR="0">
            <wp:extent cx="5715000" cy="3676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676650"/>
                    </a:xfrm>
                    <a:prstGeom prst="rect">
                      <a:avLst/>
                    </a:prstGeom>
                  </pic:spPr>
                </pic:pic>
              </a:graphicData>
            </a:graphic>
          </wp:inline>
        </w:drawing>
      </w:r>
    </w:p>
    <w:p>
      <w:pPr>
        <w:spacing w:after="240" w:before="0"/>
        <w:jc w:val="center"/>
      </w:pPr>
      <w:r>
        <w:rPr>
          <w:rFonts w:ascii="Arial" w:cs="Arial" w:eastAsia="Arial" w:hAnsi="Arial"/>
          <w:i/>
          <w:iCs/>
          <w:color w:val="475569"/>
          <w:sz w:val="20"/>
          <w:szCs w:val="20"/>
        </w:rPr>
        <w:t xml:space="preserve">Figure 1: PO state machine with all 13 transitions across 8 states (Round 6c, Locks 6.38–6.44).</w:t>
      </w:r>
    </w:p>
    <w:p>
      <w:pPr>
        <w:pStyle w:val="Heading2"/>
        <w:spacing w:after="120" w:before="280"/>
      </w:pPr>
      <w:r>
        <w:rPr>
          <w:rFonts w:ascii="Arial" w:cs="Arial" w:eastAsia="Arial" w:hAnsi="Arial"/>
          <w:b/>
          <w:bCs/>
          <w:color w:val="0F172A"/>
          <w:sz w:val="28"/>
          <w:szCs w:val="28"/>
        </w:rPr>
        <w:t xml:space="preserve">12.2 Agent architecture</w:t>
      </w:r>
    </w:p>
    <w:p>
      <w:pPr>
        <w:spacing w:after="80" w:before="80" w:line="300"/>
      </w:pPr>
      <w:r>
        <w:rPr>
          <w:rFonts w:ascii="Arial" w:cs="Arial" w:eastAsia="Arial" w:hAnsi="Arial"/>
          <w:color w:val="0F172A"/>
          <w:sz w:val="22"/>
          <w:szCs w:val="22"/>
        </w:rPr>
        <w:t xml:space="preserve">Three layers: nightly batch (top), synchronous event handlers (middle), data layer (bottom). The dashed boundary lines are the architectural seams. The boundary between batch and synchronous handlers is the determinism boundary — Lock 2.1 holds at both layers because the boundary separates "complex deterministic" from "simple deterministic." External triggers (POS webhook, UI events) flow into synchronous handlers in orange. Writes to the data layer in blue.</w:t>
      </w:r>
    </w:p>
    <w:p>
      <w:pPr>
        <w:spacing w:after="160" w:before="160"/>
        <w:jc w:val="center"/>
      </w:pPr>
      <w:r>
        <w:drawing>
          <wp:inline distT="0" distB="0" distL="0" distR="0">
            <wp:extent cx="5905500" cy="421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4219575"/>
                    </a:xfrm>
                    <a:prstGeom prst="rect">
                      <a:avLst/>
                    </a:prstGeom>
                  </pic:spPr>
                </pic:pic>
              </a:graphicData>
            </a:graphic>
          </wp:inline>
        </w:drawing>
      </w:r>
    </w:p>
    <w:p>
      <w:pPr>
        <w:spacing w:after="240" w:before="0"/>
        <w:jc w:val="center"/>
      </w:pPr>
      <w:r>
        <w:rPr>
          <w:rFonts w:ascii="Arial" w:cs="Arial" w:eastAsia="Arial" w:hAnsi="Arial"/>
          <w:i/>
          <w:iCs/>
          <w:color w:val="475569"/>
          <w:sz w:val="20"/>
          <w:szCs w:val="20"/>
        </w:rPr>
        <w:t xml:space="preserve">Figure 2: Agent architecture under Model C — nightly batch plus bounded synchronous handlers (Round 6d, Locks 6.45–6.56).</w:t>
      </w:r>
    </w:p>
    <w:p>
      <w:r>
        <w:br w:type="page"/>
      </w:r>
    </w:p>
    <w:p>
      <w:pPr>
        <w:pStyle w:val="Heading1"/>
        <w:spacing w:after="160" w:before="360"/>
      </w:pPr>
      <w:r>
        <w:rPr>
          <w:rFonts w:ascii="Arial" w:cs="Arial" w:eastAsia="Arial" w:hAnsi="Arial"/>
          <w:b/>
          <w:bCs/>
          <w:color w:val="0F172A"/>
          <w:sz w:val="36"/>
          <w:szCs w:val="36"/>
        </w:rPr>
        <w:t xml:space="preserve">16. What comes next</w:t>
      </w:r>
    </w:p>
    <w:p>
      <w:pPr>
        <w:spacing w:after="80" w:before="80" w:line="300"/>
      </w:pPr>
      <w:r>
        <w:rPr>
          <w:rFonts w:ascii="Arial" w:cs="Arial" w:eastAsia="Arial" w:hAnsi="Arial"/>
          <w:color w:val="0F172A"/>
          <w:sz w:val="22"/>
          <w:szCs w:val="22"/>
        </w:rPr>
        <w:t xml:space="preserve">The depletion loop is now spec-complete. Steps 1 through 11 are all closed. The architecture work has produced a stable foundation that the rest of the product can be built against.</w:t>
      </w:r>
    </w:p>
    <w:p>
      <w:pPr>
        <w:pStyle w:val="Heading2"/>
        <w:spacing w:after="120" w:before="280"/>
      </w:pPr>
      <w:r>
        <w:rPr>
          <w:rFonts w:ascii="Arial" w:cs="Arial" w:eastAsia="Arial" w:hAnsi="Arial"/>
          <w:b/>
          <w:bCs/>
          <w:color w:val="0F172A"/>
          <w:sz w:val="28"/>
          <w:szCs w:val="28"/>
        </w:rPr>
        <w:t xml:space="preserve">16.1 Workstreams that come next</w:t>
      </w:r>
    </w:p>
    <w:p>
      <w:pPr>
        <w:spacing w:after="80" w:before="80" w:line="300"/>
      </w:pPr>
      <w:r>
        <w:rPr>
          <w:rFonts w:ascii="Arial" w:cs="Arial" w:eastAsia="Arial" w:hAnsi="Arial"/>
          <w:color w:val="0F172A"/>
          <w:sz w:val="22"/>
          <w:szCs w:val="22"/>
        </w:rPr>
        <w:t xml:space="preserve">v5 §34.1 listed ten architecture workstreams. The depletion loop is the first one closed. The remaining nine, in roughly the order they unlock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200"/>
        <w:gridCol w:w="1760"/>
      </w:tblGrid>
      <w:tr>
        <w:trPr>
          <w:tblHeader/>
        </w:trPr>
        <w:tc>
          <w:tcPr>
            <w:tcW w:type="dxa" w:w="24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Workstream</w:t>
            </w:r>
          </w:p>
        </w:tc>
        <w:tc>
          <w:tcPr>
            <w:tcW w:type="dxa" w:w="52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Why it comes next</w:t>
            </w:r>
          </w:p>
        </w:tc>
        <w:tc>
          <w:tcPr>
            <w:tcW w:type="dxa" w:w="176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Estimated rounds</w:t>
            </w:r>
          </w:p>
        </w:tc>
      </w:tr>
      <w:tr>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Receiving flow design</w:t>
            </w:r>
          </w:p>
        </w:tc>
        <w:tc>
          <w:tcPr>
            <w:tcW w:type="dxa" w:w="5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Sub-page UX for the receiving screen we've now structurally locked. Picks up overage handling details, didn't-arrive recovery edge cases, photo-OCR threshold tuning.</w:t>
            </w:r>
          </w:p>
        </w:tc>
        <w:tc>
          <w:tcPr>
            <w:tcW w:type="dxa" w:w="17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1-2 rounds</w:t>
            </w:r>
          </w:p>
        </w:tc>
      </w:tr>
      <w:tr>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Dashboard architecture</w:t>
            </w:r>
          </w:p>
        </w:tc>
        <w:tc>
          <w:tcPr>
            <w:tcW w:type="dxa" w:w="5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First thing owners see every day. Composes timeline, agent activity, escalation cards, daily brief. Reads from everything the depletion loop produces.</w:t>
            </w:r>
          </w:p>
        </w:tc>
        <w:tc>
          <w:tcPr>
            <w:tcW w:type="dxa" w:w="17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2-3 rounds</w:t>
            </w:r>
          </w:p>
        </w:tc>
      </w:tr>
      <w:tr>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Orders page architecture</w:t>
            </w:r>
          </w:p>
        </w:tc>
        <w:tc>
          <w:tcPr>
            <w:tcW w:type="dxa" w:w="5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Where draft, dispatched, awaiting_receipt, and historical POs live. PO state machine is locked; UX layer remains.</w:t>
            </w:r>
          </w:p>
        </w:tc>
        <w:tc>
          <w:tcPr>
            <w:tcW w:type="dxa" w:w="17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1-2 rounds</w:t>
            </w:r>
          </w:p>
        </w:tc>
      </w:tr>
      <w:tr>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Inventory page architecture</w:t>
            </w:r>
          </w:p>
        </w:tc>
        <w:tc>
          <w:tcPr>
            <w:tcW w:type="dxa" w:w="5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Supplier-grouped view (v5 §33.1 lock). Par-level management, manual adjustments. Reads inventory_movements as the audit trail.</w:t>
            </w:r>
          </w:p>
        </w:tc>
        <w:tc>
          <w:tcPr>
            <w:tcW w:type="dxa" w:w="17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1-2 rounds</w:t>
            </w:r>
          </w:p>
        </w:tc>
      </w:tr>
      <w:tr>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Variance Report architecture</w:t>
            </w:r>
          </w:p>
        </w:tc>
        <w:tc>
          <w:tcPr>
            <w:tcW w:type="dxa" w:w="5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Theoretical vs actual depletion. The forecast engine and unified ledger are both designed to make this query cheap.</w:t>
            </w:r>
          </w:p>
        </w:tc>
        <w:tc>
          <w:tcPr>
            <w:tcW w:type="dxa" w:w="17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1-2 rounds</w:t>
            </w:r>
          </w:p>
        </w:tc>
      </w:tr>
      <w:tr>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Settings architecture</w:t>
            </w:r>
          </w:p>
        </w:tc>
        <w:tc>
          <w:tcPr>
            <w:tcW w:type="dxa" w:w="5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Account, billing, team, suppliers, ingredients, recipes, shift-close.</w:t>
            </w:r>
          </w:p>
        </w:tc>
        <w:tc>
          <w:tcPr>
            <w:tcW w:type="dxa" w:w="17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1 round</w:t>
            </w:r>
          </w:p>
        </w:tc>
      </w:tr>
      <w:tr>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Admin web portal architecture</w:t>
            </w:r>
          </w:p>
        </w:tc>
        <w:tc>
          <w:tcPr>
            <w:tcW w:type="dxa" w:w="5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Vito's view: customers, alerts, unblock tools, waitlist, ingredient/recipe review queues.</w:t>
            </w:r>
          </w:p>
        </w:tc>
        <w:tc>
          <w:tcPr>
            <w:tcW w:type="dxa" w:w="17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1-2 rounds</w:t>
            </w:r>
          </w:p>
        </w:tc>
      </w:tr>
      <w:tr>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Integration layer architecture</w:t>
            </w:r>
          </w:p>
        </w:tc>
        <w:tc>
          <w:tcPr>
            <w:tcW w:type="dxa" w:w="5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POS webhook contracts, Gmail OAuth, Stripe billing, Anthropic API.</w:t>
            </w:r>
          </w:p>
        </w:tc>
        <w:tc>
          <w:tcPr>
            <w:tcW w:type="dxa" w:w="17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1-2 rounds</w:t>
            </w:r>
          </w:p>
        </w:tc>
      </w:tr>
      <w:tr>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Phase 2 design surfaces (deferred for now)</w:t>
            </w:r>
          </w:p>
        </w:tc>
        <w:tc>
          <w:tcPr>
            <w:tcW w:type="dxa" w:w="5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Supplier reliability tracking, price intelligence (Moat Layer 4), team invites, multi-location.</w:t>
            </w:r>
          </w:p>
        </w:tc>
        <w:tc>
          <w:tcPr>
            <w:tcW w:type="dxa" w:w="17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Phase 2</w:t>
            </w:r>
          </w:p>
        </w:tc>
      </w:tr>
    </w:tbl>
    <w:p>
      <w:pPr>
        <w:pStyle w:val="Heading2"/>
        <w:spacing w:after="120" w:before="280"/>
      </w:pPr>
      <w:r>
        <w:rPr>
          <w:rFonts w:ascii="Arial" w:cs="Arial" w:eastAsia="Arial" w:hAnsi="Arial"/>
          <w:b/>
          <w:bCs/>
          <w:color w:val="0F172A"/>
          <w:sz w:val="28"/>
          <w:szCs w:val="28"/>
        </w:rPr>
        <w:t xml:space="preserve">16.2 Strategic question to answer before opening the next workstream</w:t>
      </w:r>
    </w:p>
    <w:p>
      <w:pPr>
        <w:spacing w:after="80" w:before="80" w:line="300"/>
      </w:pPr>
      <w:r>
        <w:rPr>
          <w:rFonts w:ascii="Arial" w:cs="Arial" w:eastAsia="Arial" w:hAnsi="Arial"/>
          <w:color w:val="0F172A"/>
          <w:sz w:val="22"/>
          <w:szCs w:val="22"/>
        </w:rPr>
        <w:t xml:space="preserve">The Dashboard is the most consequential surface to design next, because every other surface (Orders page, Inventory, Variance Report) is essentially a sub-view of what the Dashboard composes. Dashboard architecture also forces the team to confront concrete UX questions that have been deferred — what does the timeline visualization look like, how is the agent's activity surfaced, how does the daily brief render.</w:t>
      </w:r>
    </w:p>
    <w:p>
      <w:pPr>
        <w:spacing w:after="80" w:before="80" w:line="300"/>
      </w:pPr>
      <w:r>
        <w:rPr>
          <w:rFonts w:ascii="Arial" w:cs="Arial" w:eastAsia="Arial" w:hAnsi="Arial"/>
          <w:color w:val="0F172A"/>
          <w:sz w:val="22"/>
          <w:szCs w:val="22"/>
        </w:rPr>
        <w:t xml:space="preserve">But there's a defensible case for going to integration layer next instead: it's lower-creativity, more mechanical, and unlocks engineering work that can run in parallel while the Dashboard design is still being shaped. If your team is heavier on engineers than designers right now, integration layer first might unblock more people.</w:t>
      </w:r>
    </w:p>
    <w:p>
      <w:pPr>
        <w:spacing w:after="80" w:before="80" w:line="300"/>
      </w:pPr>
      <w:r>
        <w:rPr>
          <w:rFonts w:ascii="Arial" w:cs="Arial" w:eastAsia="Arial" w:hAnsi="Arial"/>
          <w:color w:val="0F172A"/>
          <w:sz w:val="22"/>
          <w:szCs w:val="22"/>
        </w:rPr>
        <w:t xml:space="preserve">This is a strategic call, not an architectural one. v3 of this document will reflect whichever workstream you take on next.</w:t>
      </w:r>
    </w:p>
    <w:p>
      <w:pPr>
        <w:pStyle w:val="Heading2"/>
        <w:spacing w:after="120" w:before="280"/>
      </w:pPr>
      <w:r>
        <w:rPr>
          <w:rFonts w:ascii="Arial" w:cs="Arial" w:eastAsia="Arial" w:hAnsi="Arial"/>
          <w:b/>
          <w:bCs/>
          <w:color w:val="0F172A"/>
          <w:sz w:val="28"/>
          <w:szCs w:val="28"/>
        </w:rPr>
        <w:t xml:space="preserve">16.3 Outstanding tracked risks</w:t>
      </w:r>
    </w:p>
    <w:p>
      <w:pPr>
        <w:spacing w:after="80" w:before="80" w:line="300"/>
      </w:pPr>
      <w:r>
        <w:rPr>
          <w:rFonts w:ascii="Arial" w:cs="Arial" w:eastAsia="Arial" w:hAnsi="Arial"/>
          <w:color w:val="0F172A"/>
          <w:sz w:val="22"/>
          <w:szCs w:val="22"/>
        </w:rPr>
        <w:t xml:space="preserve">Before any new workstream opens, the Ticketmaster ToU clearance (Risk 1, §15.1) needs to be in motion. The lawyer engagement and partnerships email were assigned to you. Status as of this snapshot: in progress. Next architecture conversation should start with a status check on this risk before adding new locks.</w:t>
      </w:r>
    </w:p>
    <w:p>
      <w:r>
        <w:br w:type="page"/>
      </w:r>
    </w:p>
    <w:p>
      <w:pPr>
        <w:pStyle w:val="Heading1"/>
        <w:spacing w:after="160" w:before="360"/>
      </w:pPr>
      <w:r>
        <w:rPr>
          <w:rFonts w:ascii="Arial" w:cs="Arial" w:eastAsia="Arial" w:hAnsi="Arial"/>
          <w:b/>
          <w:bCs/>
          <w:color w:val="0F172A"/>
          <w:sz w:val="36"/>
          <w:szCs w:val="36"/>
        </w:rPr>
        <w:t xml:space="preserve">17. Verification checklist v2</w:t>
      </w:r>
    </w:p>
    <w:p>
      <w:pPr>
        <w:spacing w:after="80" w:before="80" w:line="300"/>
      </w:pPr>
      <w:r>
        <w:rPr>
          <w:rFonts w:ascii="Arial" w:cs="Arial" w:eastAsia="Arial" w:hAnsi="Arial"/>
          <w:color w:val="0F172A"/>
          <w:sz w:val="22"/>
          <w:szCs w:val="22"/>
        </w:rPr>
        <w:t xml:space="preserve">Read each statement. If you agree it matches what we decided, no action needed. If you disagree or remember it differently, flag it before the next workstream opens — drift is harder to catch later.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1100"/>
        <w:gridCol w:w="7480"/>
      </w:tblGrid>
      <w:tr>
        <w:trPr>
          <w:tblHeader/>
        </w:trPr>
        <w:tc>
          <w:tcPr>
            <w:tcW w:type="dxa" w:w="78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w:t>
            </w:r>
          </w:p>
        </w:tc>
        <w:tc>
          <w:tcPr>
            <w:tcW w:type="dxa" w:w="11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Round</w:t>
            </w:r>
          </w:p>
        </w:tc>
        <w:tc>
          <w:tcPr>
            <w:tcW w:type="dxa" w:w="748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Statement</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F766E"/>
                <w:sz w:val="28"/>
                <w:szCs w:val="28"/>
              </w:rPr>
              <w:t xml:space="preserve">☐</w:t>
            </w:r>
          </w:p>
        </w:tc>
        <w:tc>
          <w:tcPr>
            <w:tcW w:type="dxa" w:w="11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766E"/>
                <w:sz w:val="22"/>
                <w:szCs w:val="22"/>
              </w:rPr>
              <w:t xml:space="preserve">R1</w:t>
            </w:r>
          </w:p>
        </w:tc>
        <w:tc>
          <w:tcPr>
            <w:tcW w:type="dxa" w:w="74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The forecast engine produces two artifacts per nightly run: a per-ingredient depletion timeline and a per-supplier draft PO.</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F766E"/>
                <w:sz w:val="28"/>
                <w:szCs w:val="28"/>
              </w:rPr>
              <w:t xml:space="preserve">☐</w:t>
            </w:r>
          </w:p>
        </w:tc>
        <w:tc>
          <w:tcPr>
            <w:tcW w:type="dxa" w:w="11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766E"/>
                <w:sz w:val="22"/>
                <w:szCs w:val="22"/>
              </w:rPr>
              <w:t xml:space="preserve">R1</w:t>
            </w:r>
          </w:p>
        </w:tc>
        <w:tc>
          <w:tcPr>
            <w:tcW w:type="dxa" w:w="74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The per-ingredient timeline is canonical for "when will I run out" questions.</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F766E"/>
                <w:sz w:val="28"/>
                <w:szCs w:val="28"/>
              </w:rPr>
              <w:t xml:space="preserve">☐</w:t>
            </w:r>
          </w:p>
        </w:tc>
        <w:tc>
          <w:tcPr>
            <w:tcW w:type="dxa" w:w="11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766E"/>
                <w:sz w:val="22"/>
                <w:szCs w:val="22"/>
              </w:rPr>
              <w:t xml:space="preserve">R1</w:t>
            </w:r>
          </w:p>
        </w:tc>
        <w:tc>
          <w:tcPr>
            <w:tcW w:type="dxa" w:w="74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The per-supplier PO is canonical for "what's being ordered, when does it arrive, and why."</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F766E"/>
                <w:sz w:val="28"/>
                <w:szCs w:val="28"/>
              </w:rPr>
              <w:t xml:space="preserve">☐</w:t>
            </w:r>
          </w:p>
        </w:tc>
        <w:tc>
          <w:tcPr>
            <w:tcW w:type="dxa" w:w="11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766E"/>
                <w:sz w:val="22"/>
                <w:szCs w:val="22"/>
              </w:rPr>
              <w:t xml:space="preserve">R1</w:t>
            </w:r>
          </w:p>
        </w:tc>
        <w:tc>
          <w:tcPr>
            <w:tcW w:type="dxa" w:w="74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The PO carries a human-readable reasoning trace as a UI/transparency feature.</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F766E"/>
                <w:sz w:val="28"/>
                <w:szCs w:val="28"/>
              </w:rPr>
              <w:t xml:space="preserve">☐</w:t>
            </w:r>
          </w:p>
        </w:tc>
        <w:tc>
          <w:tcPr>
            <w:tcW w:type="dxa" w:w="11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766E"/>
                <w:sz w:val="22"/>
                <w:szCs w:val="22"/>
              </w:rPr>
              <w:t xml:space="preserve">R1</w:t>
            </w:r>
          </w:p>
        </w:tc>
        <w:tc>
          <w:tcPr>
            <w:tcW w:type="dxa" w:w="74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When the timeline and PO appear to disagree, the dashboard shows both side-by-side rather than reconciling them.</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F766E"/>
                <w:sz w:val="28"/>
                <w:szCs w:val="28"/>
              </w:rPr>
              <w:t xml:space="preserve">☐</w:t>
            </w:r>
          </w:p>
        </w:tc>
        <w:tc>
          <w:tcPr>
            <w:tcW w:type="dxa" w:w="11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766E"/>
                <w:sz w:val="22"/>
                <w:szCs w:val="22"/>
              </w:rPr>
              <w:t xml:space="preserve">R2</w:t>
            </w:r>
          </w:p>
        </w:tc>
        <w:tc>
          <w:tcPr>
            <w:tcW w:type="dxa" w:w="74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The forecast engine is fully deterministic. No LLM in the forecasting math.</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F766E"/>
                <w:sz w:val="28"/>
                <w:szCs w:val="28"/>
              </w:rPr>
              <w:t xml:space="preserve">☐</w:t>
            </w:r>
          </w:p>
        </w:tc>
        <w:tc>
          <w:tcPr>
            <w:tcW w:type="dxa" w:w="11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766E"/>
                <w:sz w:val="22"/>
                <w:szCs w:val="22"/>
              </w:rPr>
              <w:t xml:space="preserve">R2</w:t>
            </w:r>
          </w:p>
        </w:tc>
        <w:tc>
          <w:tcPr>
            <w:tcW w:type="dxa" w:w="74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The PO reasoning trace is generated by templating structured forecast output. No LLM at PO draft time.</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F766E"/>
                <w:sz w:val="28"/>
                <w:szCs w:val="28"/>
              </w:rPr>
              <w:t xml:space="preserve">☐</w:t>
            </w:r>
          </w:p>
        </w:tc>
        <w:tc>
          <w:tcPr>
            <w:tcW w:type="dxa" w:w="11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766E"/>
                <w:sz w:val="22"/>
                <w:szCs w:val="22"/>
              </w:rPr>
              <w:t xml:space="preserve">R2</w:t>
            </w:r>
          </w:p>
        </w:tc>
        <w:tc>
          <w:tcPr>
            <w:tcW w:type="dxa" w:w="74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The reasoning trace is reproducible: same inputs → same prose.</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F766E"/>
                <w:sz w:val="28"/>
                <w:szCs w:val="28"/>
              </w:rPr>
              <w:t xml:space="preserve">☐</w:t>
            </w:r>
          </w:p>
        </w:tc>
        <w:tc>
          <w:tcPr>
            <w:tcW w:type="dxa" w:w="11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766E"/>
                <w:sz w:val="22"/>
                <w:szCs w:val="22"/>
              </w:rPr>
              <w:t xml:space="preserve">R2</w:t>
            </w:r>
          </w:p>
        </w:tc>
        <w:tc>
          <w:tcPr>
            <w:tcW w:type="dxa" w:w="74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LLM is permitted in already-locked v5 surfaces (recipe drafting, menu cleanup, ingredient normalization). Forecast/PO pipeline is the carve-out.</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F766E"/>
                <w:sz w:val="28"/>
                <w:szCs w:val="28"/>
              </w:rPr>
              <w:t xml:space="preserve">☐</w:t>
            </w:r>
          </w:p>
        </w:tc>
        <w:tc>
          <w:tcPr>
            <w:tcW w:type="dxa" w:w="11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766E"/>
                <w:sz w:val="22"/>
                <w:szCs w:val="22"/>
              </w:rPr>
              <w:t xml:space="preserve">R3</w:t>
            </w:r>
          </w:p>
        </w:tc>
        <w:tc>
          <w:tcPr>
            <w:tcW w:type="dxa" w:w="74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PO feedback loop activates after 5 POs across any supplier (tenant-wide threshold).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F766E"/>
                <w:sz w:val="28"/>
                <w:szCs w:val="28"/>
              </w:rPr>
              <w:t xml:space="preserve">☐</w:t>
            </w:r>
          </w:p>
        </w:tc>
        <w:tc>
          <w:tcPr>
            <w:tcW w:type="dxa" w:w="11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766E"/>
                <w:sz w:val="22"/>
                <w:szCs w:val="22"/>
              </w:rPr>
              <w:t xml:space="preserve">R3</w:t>
            </w:r>
          </w:p>
        </w:tc>
        <w:tc>
          <w:tcPr>
            <w:tcW w:type="dxa" w:w="74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Feedback prompt is two-axis: quantity (too much / right / too little) + timing (earlier / right / later).</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F766E"/>
                <w:sz w:val="28"/>
                <w:szCs w:val="28"/>
              </w:rPr>
              <w:t xml:space="preserve">☐</w:t>
            </w:r>
          </w:p>
        </w:tc>
        <w:tc>
          <w:tcPr>
            <w:tcW w:type="dxa" w:w="11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766E"/>
                <w:sz w:val="22"/>
                <w:szCs w:val="22"/>
              </w:rPr>
              <w:t xml:space="preserve">R3</w:t>
            </w:r>
          </w:p>
        </w:tc>
        <w:tc>
          <w:tcPr>
            <w:tcW w:type="dxa" w:w="74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Two independent learning signals run in parallel: shift-close yield learning + PO feedback.</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F766E"/>
                <w:sz w:val="28"/>
                <w:szCs w:val="28"/>
              </w:rPr>
              <w:t xml:space="preserve">☐</w:t>
            </w:r>
          </w:p>
        </w:tc>
        <w:tc>
          <w:tcPr>
            <w:tcW w:type="dxa" w:w="11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766E"/>
                <w:sz w:val="22"/>
                <w:szCs w:val="22"/>
              </w:rPr>
              <w:t xml:space="preserve">R3</w:t>
            </w:r>
          </w:p>
        </w:tc>
        <w:tc>
          <w:tcPr>
            <w:tcW w:type="dxa" w:w="74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Yield learning owns per-ingredient consumption rates. PO feedback owns per-supplier lead time, tenant-wide safety multiplier, reorder-threshold timing offset.</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F766E"/>
                <w:sz w:val="28"/>
                <w:szCs w:val="28"/>
              </w:rPr>
              <w:t xml:space="preserve">☐</w:t>
            </w:r>
          </w:p>
        </w:tc>
        <w:tc>
          <w:tcPr>
            <w:tcW w:type="dxa" w:w="11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766E"/>
                <w:sz w:val="22"/>
                <w:szCs w:val="22"/>
              </w:rPr>
              <w:t xml:space="preserve">R3</w:t>
            </w:r>
          </w:p>
        </w:tc>
        <w:tc>
          <w:tcPr>
            <w:tcW w:type="dxa" w:w="74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The two systems cannot edit the same parameter.</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F766E"/>
                <w:sz w:val="28"/>
                <w:szCs w:val="28"/>
              </w:rPr>
              <w:t xml:space="preserve">☐</w:t>
            </w:r>
          </w:p>
        </w:tc>
        <w:tc>
          <w:tcPr>
            <w:tcW w:type="dxa" w:w="11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766E"/>
                <w:sz w:val="22"/>
                <w:szCs w:val="22"/>
              </w:rPr>
              <w:t xml:space="preserve">R4</w:t>
            </w:r>
          </w:p>
        </w:tc>
        <w:tc>
          <w:tcPr>
            <w:tcW w:type="dxa" w:w="74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Timing-axis feedback is collected at receiving.</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F766E"/>
                <w:sz w:val="28"/>
                <w:szCs w:val="28"/>
              </w:rPr>
              <w:t xml:space="preserve">☐</w:t>
            </w:r>
          </w:p>
        </w:tc>
        <w:tc>
          <w:tcPr>
            <w:tcW w:type="dxa" w:w="11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766E"/>
                <w:sz w:val="22"/>
                <w:szCs w:val="22"/>
              </w:rPr>
              <w:t xml:space="preserve">R4</w:t>
            </w:r>
          </w:p>
        </w:tc>
        <w:tc>
          <w:tcPr>
            <w:tcW w:type="dxa" w:w="74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Quantity-axis feedback is collected after a per-supplier delay (defaults: Sysco-class 4d, specialty produce 3d, paper/cleaning 14d).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F766E"/>
                <w:sz w:val="28"/>
                <w:szCs w:val="28"/>
              </w:rPr>
              <w:t xml:space="preserve">☐</w:t>
            </w:r>
          </w:p>
        </w:tc>
        <w:tc>
          <w:tcPr>
            <w:tcW w:type="dxa" w:w="11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766E"/>
                <w:sz w:val="22"/>
                <w:szCs w:val="22"/>
              </w:rPr>
              <w:t xml:space="preserve">R4</w:t>
            </w:r>
          </w:p>
        </w:tc>
        <w:tc>
          <w:tcPr>
            <w:tcW w:type="dxa" w:w="74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All feedback prompts are skippable. Skipped prompts do not count toward the 5-PO threshold.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F766E"/>
                <w:sz w:val="28"/>
                <w:szCs w:val="28"/>
              </w:rPr>
              <w:t xml:space="preserve">☐</w:t>
            </w:r>
          </w:p>
        </w:tc>
        <w:tc>
          <w:tcPr>
            <w:tcW w:type="dxa" w:w="11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766E"/>
                <w:sz w:val="22"/>
                <w:szCs w:val="22"/>
              </w:rPr>
              <w:t xml:space="preserve">R4</w:t>
            </w:r>
          </w:p>
        </w:tc>
        <w:tc>
          <w:tcPr>
            <w:tcW w:type="dxa" w:w="74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Each prompt fires independently. No batching, no inline-piggyback, no paternalistic attention management.</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F766E"/>
                <w:sz w:val="28"/>
                <w:szCs w:val="28"/>
              </w:rPr>
              <w:t xml:space="preserve">☐</w:t>
            </w:r>
          </w:p>
        </w:tc>
        <w:tc>
          <w:tcPr>
            <w:tcW w:type="dxa" w:w="11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766E"/>
                <w:sz w:val="22"/>
                <w:szCs w:val="22"/>
              </w:rPr>
              <w:t xml:space="preserve">R5</w:t>
            </w:r>
          </w:p>
        </w:tc>
        <w:tc>
          <w:tcPr>
            <w:tcW w:type="dxa" w:w="74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Forecast horizon is fixed at 14 days, uniform across ingredients.</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F766E"/>
                <w:sz w:val="28"/>
                <w:szCs w:val="28"/>
              </w:rPr>
              <w:t xml:space="preserve">☐</w:t>
            </w:r>
          </w:p>
        </w:tc>
        <w:tc>
          <w:tcPr>
            <w:tcW w:type="dxa" w:w="11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766E"/>
                <w:sz w:val="22"/>
                <w:szCs w:val="22"/>
              </w:rPr>
              <w:t xml:space="preserve">R5</w:t>
            </w:r>
          </w:p>
        </w:tc>
        <w:tc>
          <w:tcPr>
            <w:tcW w:type="dxa" w:w="74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Forecast granularity is hourly during tenant business hours, no projection during off-hours.</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F766E"/>
                <w:sz w:val="28"/>
                <w:szCs w:val="28"/>
              </w:rPr>
              <w:t xml:space="preserve">☐</w:t>
            </w:r>
          </w:p>
        </w:tc>
        <w:tc>
          <w:tcPr>
            <w:tcW w:type="dxa" w:w="11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766E"/>
                <w:sz w:val="22"/>
                <w:szCs w:val="22"/>
              </w:rPr>
              <w:t xml:space="preserve">R5</w:t>
            </w:r>
          </w:p>
        </w:tc>
        <w:tc>
          <w:tcPr>
            <w:tcW w:type="dxa" w:w="74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Auto-degrade rule: ingredients with &lt;1 unit/business-day average depletion (trailing 14d) forecast at daily granularity.</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F766E"/>
                <w:sz w:val="28"/>
                <w:szCs w:val="28"/>
              </w:rPr>
              <w:t xml:space="preserve">☐</w:t>
            </w:r>
          </w:p>
        </w:tc>
        <w:tc>
          <w:tcPr>
            <w:tcW w:type="dxa" w:w="11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766E"/>
                <w:sz w:val="22"/>
                <w:szCs w:val="22"/>
              </w:rPr>
              <w:t xml:space="preserve">R5</w:t>
            </w:r>
          </w:p>
        </w:tc>
        <w:tc>
          <w:tcPr>
            <w:tcW w:type="dxa" w:w="74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The forecast method is Method C decomposition: trend + weekly seasonality + holidays + weather + events.</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F766E"/>
                <w:sz w:val="28"/>
                <w:szCs w:val="28"/>
              </w:rPr>
              <w:t xml:space="preserve">☐</w:t>
            </w:r>
          </w:p>
        </w:tc>
        <w:tc>
          <w:tcPr>
            <w:tcW w:type="dxa" w:w="11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766E"/>
                <w:sz w:val="22"/>
                <w:szCs w:val="22"/>
              </w:rPr>
              <w:t xml:space="preserve">R5</w:t>
            </w:r>
          </w:p>
        </w:tc>
        <w:tc>
          <w:tcPr>
            <w:tcW w:type="dxa" w:w="74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Holidays are sourced from canada-holidays.ca (provincial-aware Canadian stat holidays, free) + Calendarific ($100/year, religious/international).</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F766E"/>
                <w:sz w:val="28"/>
                <w:szCs w:val="28"/>
              </w:rPr>
              <w:t xml:space="preserve">☐</w:t>
            </w:r>
          </w:p>
        </w:tc>
        <w:tc>
          <w:tcPr>
            <w:tcW w:type="dxa" w:w="11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766E"/>
                <w:sz w:val="22"/>
                <w:szCs w:val="22"/>
              </w:rPr>
              <w:t xml:space="preserve">R5</w:t>
            </w:r>
          </w:p>
        </w:tc>
        <w:tc>
          <w:tcPr>
            <w:tcW w:type="dxa" w:w="74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Weather is sourced from Open-Meteo (free, 16-day forecast, hourly, geocoded from §30.1 address).</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F766E"/>
                <w:sz w:val="28"/>
                <w:szCs w:val="28"/>
              </w:rPr>
              <w:t xml:space="preserve">☐</w:t>
            </w:r>
          </w:p>
        </w:tc>
        <w:tc>
          <w:tcPr>
            <w:tcW w:type="dxa" w:w="11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766E"/>
                <w:sz w:val="22"/>
                <w:szCs w:val="22"/>
              </w:rPr>
              <w:t xml:space="preserve">R5</w:t>
            </w:r>
          </w:p>
        </w:tc>
        <w:tc>
          <w:tcPr>
            <w:tcW w:type="dxa" w:w="74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Events are sourced from Ticketmaster Discovery API for major-venue concerts/sports/theatre within radius of restaurant.</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F766E"/>
                <w:sz w:val="28"/>
                <w:szCs w:val="28"/>
              </w:rPr>
              <w:t xml:space="preserve">☐</w:t>
            </w:r>
          </w:p>
        </w:tc>
        <w:tc>
          <w:tcPr>
            <w:tcW w:type="dxa" w:w="11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766E"/>
                <w:sz w:val="22"/>
                <w:szCs w:val="22"/>
              </w:rPr>
              <w:t xml:space="preserve">R5</w:t>
            </w:r>
          </w:p>
        </w:tc>
        <w:tc>
          <w:tcPr>
            <w:tcW w:type="dxa" w:w="74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Cold-start strategy is to bootstrap from 12 months of pre-onboarding POS history with synthetic depletion based on declared yields.</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F766E"/>
                <w:sz w:val="28"/>
                <w:szCs w:val="28"/>
              </w:rPr>
              <w:t xml:space="preserve">☐</w:t>
            </w:r>
          </w:p>
        </w:tc>
        <w:tc>
          <w:tcPr>
            <w:tcW w:type="dxa" w:w="11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766E"/>
                <w:sz w:val="22"/>
                <w:szCs w:val="22"/>
              </w:rPr>
              <w:t xml:space="preserve">R5</w:t>
            </w:r>
          </w:p>
        </w:tc>
        <w:tc>
          <w:tcPr>
            <w:tcW w:type="dxa" w:w="74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Trial-period forecasts are labeled "calibrating" with widened confidence intervals. Label drops at day 14 when measured yields land.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F766E"/>
                <w:sz w:val="28"/>
                <w:szCs w:val="28"/>
              </w:rPr>
              <w:t xml:space="preserve">☐</w:t>
            </w:r>
          </w:p>
        </w:tc>
        <w:tc>
          <w:tcPr>
            <w:tcW w:type="dxa" w:w="11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766E"/>
                <w:sz w:val="22"/>
                <w:szCs w:val="22"/>
              </w:rPr>
              <w:t xml:space="preserve">R5</w:t>
            </w:r>
          </w:p>
        </w:tc>
        <w:tc>
          <w:tcPr>
            <w:tcW w:type="dxa" w:w="74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Bootstrap runs as a background job after onboarding completes; first forecast is available by the next 2am agent run.</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F766E"/>
                <w:sz w:val="28"/>
                <w:szCs w:val="28"/>
              </w:rPr>
              <w:t xml:space="preserve">☐</w:t>
            </w:r>
          </w:p>
        </w:tc>
        <w:tc>
          <w:tcPr>
            <w:tcW w:type="dxa" w:w="11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766E"/>
                <w:sz w:val="22"/>
                <w:szCs w:val="22"/>
              </w:rPr>
              <w:t xml:space="preserve">R6a</w:t>
            </w:r>
          </w:p>
        </w:tc>
        <w:tc>
          <w:tcPr>
            <w:tcW w:type="dxa" w:w="74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Receiving timing uses Option 2-strong: scheduled push on expected delivery day + 24h reminder + Orders page surfacing + non-dismissible Dashboard card after 24h post-delivery.</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F766E"/>
                <w:sz w:val="28"/>
                <w:szCs w:val="28"/>
              </w:rPr>
              <w:t xml:space="preserve">☐</w:t>
            </w:r>
          </w:p>
        </w:tc>
        <w:tc>
          <w:tcPr>
            <w:tcW w:type="dxa" w:w="11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766E"/>
                <w:sz w:val="22"/>
                <w:szCs w:val="22"/>
              </w:rPr>
              <w:t xml:space="preserve">R6a</w:t>
            </w:r>
          </w:p>
        </w:tc>
        <w:tc>
          <w:tcPr>
            <w:tcW w:type="dxa" w:w="74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Scheduled prompt is anchored to PO's expected delivery day (calculated at PO draft time from supplier delivery cadence). Owner can manually edit if delivery is rescheduled.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F766E"/>
                <w:sz w:val="28"/>
                <w:szCs w:val="28"/>
              </w:rPr>
              <w:t xml:space="preserve">☐</w:t>
            </w:r>
          </w:p>
        </w:tc>
        <w:tc>
          <w:tcPr>
            <w:tcW w:type="dxa" w:w="11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766E"/>
                <w:sz w:val="22"/>
                <w:szCs w:val="22"/>
              </w:rPr>
              <w:t xml:space="preserve">R6a</w:t>
            </w:r>
          </w:p>
        </w:tc>
        <w:tc>
          <w:tcPr>
            <w:tcW w:type="dxa" w:w="74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Dashboard escalation card has only two actions: Confirm receipt or Didn't arrive. No dismiss/snooze.</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F766E"/>
                <w:sz w:val="28"/>
                <w:szCs w:val="28"/>
              </w:rPr>
              <w:t xml:space="preserve">☐</w:t>
            </w:r>
          </w:p>
        </w:tc>
        <w:tc>
          <w:tcPr>
            <w:tcW w:type="dxa" w:w="11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766E"/>
                <w:sz w:val="22"/>
                <w:szCs w:val="22"/>
              </w:rPr>
              <w:t xml:space="preserve">R6a</w:t>
            </w:r>
          </w:p>
        </w:tc>
        <w:tc>
          <w:tcPr>
            <w:tcW w:type="dxa" w:w="74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The owner-agency principle extends to receiving: surface strongly, never gate. Hard app freezes are explicitly out of scope.</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F766E"/>
                <w:sz w:val="28"/>
                <w:szCs w:val="28"/>
              </w:rPr>
              <w:t xml:space="preserve">☐</w:t>
            </w:r>
          </w:p>
        </w:tc>
        <w:tc>
          <w:tcPr>
            <w:tcW w:type="dxa" w:w="11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766E"/>
                <w:sz w:val="22"/>
                <w:szCs w:val="22"/>
              </w:rPr>
              <w:t xml:space="preserve">R6b</w:t>
            </w:r>
          </w:p>
        </w:tc>
        <w:tc>
          <w:tcPr>
            <w:tcW w:type="dxa" w:w="74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Receiving screen presents both "Scan invoice" and "Enter manually" options as equal-status alternatives at the top.</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F766E"/>
                <w:sz w:val="28"/>
                <w:szCs w:val="28"/>
              </w:rPr>
              <w:t xml:space="preserve">☐</w:t>
            </w:r>
          </w:p>
        </w:tc>
        <w:tc>
          <w:tcPr>
            <w:tcW w:type="dxa" w:w="11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766E"/>
                <w:sz w:val="22"/>
                <w:szCs w:val="22"/>
              </w:rPr>
              <w:t xml:space="preserve">R6b</w:t>
            </w:r>
          </w:p>
        </w:tc>
        <w:tc>
          <w:tcPr>
            <w:tcW w:type="dxa" w:w="74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Photo path: LLM extracts line items scoped against supplier's known ingredients. LLM never writes to inventory directly.</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F766E"/>
                <w:sz w:val="28"/>
                <w:szCs w:val="28"/>
              </w:rPr>
              <w:t xml:space="preserve">☐</w:t>
            </w:r>
          </w:p>
        </w:tc>
        <w:tc>
          <w:tcPr>
            <w:tcW w:type="dxa" w:w="11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766E"/>
                <w:sz w:val="22"/>
                <w:szCs w:val="22"/>
              </w:rPr>
              <w:t xml:space="preserve">R6b</w:t>
            </w:r>
          </w:p>
        </w:tc>
        <w:tc>
          <w:tcPr>
            <w:tcW w:type="dxa" w:w="74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Confidence-aware rendering: green ✅ for high-confidence matches, yellow ⚠️ for medium, blue + for unmatched.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F766E"/>
                <w:sz w:val="28"/>
                <w:szCs w:val="28"/>
              </w:rPr>
              <w:t xml:space="preserve">☐</w:t>
            </w:r>
          </w:p>
        </w:tc>
        <w:tc>
          <w:tcPr>
            <w:tcW w:type="dxa" w:w="11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766E"/>
                <w:sz w:val="22"/>
                <w:szCs w:val="22"/>
              </w:rPr>
              <w:t xml:space="preserve">R6b</w:t>
            </w:r>
          </w:p>
        </w:tc>
        <w:tc>
          <w:tcPr>
            <w:tcW w:type="dxa" w:w="74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Per-line variance UX: inline expand for quantity-only edits, modal sheet for substitution edits (Hybrid Variant C).</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F766E"/>
                <w:sz w:val="28"/>
                <w:szCs w:val="28"/>
              </w:rPr>
              <w:t xml:space="preserve">☐</w:t>
            </w:r>
          </w:p>
        </w:tc>
        <w:tc>
          <w:tcPr>
            <w:tcW w:type="dxa" w:w="11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766E"/>
                <w:sz w:val="22"/>
                <w:szCs w:val="22"/>
              </w:rPr>
              <w:t xml:space="preserve">R6b</w:t>
            </w:r>
          </w:p>
        </w:tc>
        <w:tc>
          <w:tcPr>
            <w:tcW w:type="dxa" w:w="74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Submit shows summary review screen before commit. Owner explicitly confirms to mutate inventory. No undo-window state.</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F766E"/>
                <w:sz w:val="28"/>
                <w:szCs w:val="28"/>
              </w:rPr>
              <w:t xml:space="preserve">☐</w:t>
            </w:r>
          </w:p>
        </w:tc>
        <w:tc>
          <w:tcPr>
            <w:tcW w:type="dxa" w:w="11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766E"/>
                <w:sz w:val="22"/>
                <w:szCs w:val="22"/>
              </w:rPr>
              <w:t xml:space="preserve">R6b</w:t>
            </w:r>
          </w:p>
        </w:tc>
        <w:tc>
          <w:tcPr>
            <w:tcW w:type="dxa" w:w="74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Edit-after-commit is a separate explicit flow (Orders → tap PO → "edit receipt"), not an undo path from success state.</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F766E"/>
                <w:sz w:val="28"/>
                <w:szCs w:val="28"/>
              </w:rPr>
              <w:t xml:space="preserve">☐</w:t>
            </w:r>
          </w:p>
        </w:tc>
        <w:tc>
          <w:tcPr>
            <w:tcW w:type="dxa" w:w="11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766E"/>
                <w:sz w:val="22"/>
                <w:szCs w:val="22"/>
              </w:rPr>
              <w:t xml:space="preserve">R6c</w:t>
            </w:r>
          </w:p>
        </w:tc>
        <w:tc>
          <w:tcPr>
            <w:tcW w:type="dxa" w:w="74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Receipts data model is Shape C: receipts as first-class objects + inventory_movements as unified ledger.</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F766E"/>
                <w:sz w:val="28"/>
                <w:szCs w:val="28"/>
              </w:rPr>
              <w:t xml:space="preserve">☐</w:t>
            </w:r>
          </w:p>
        </w:tc>
        <w:tc>
          <w:tcPr>
            <w:tcW w:type="dxa" w:w="11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766E"/>
                <w:sz w:val="22"/>
                <w:szCs w:val="22"/>
              </w:rPr>
              <w:t xml:space="preserve">R6c</w:t>
            </w:r>
          </w:p>
        </w:tc>
        <w:tc>
          <w:tcPr>
            <w:tcW w:type="dxa" w:w="74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Every inventory mutation writes to inventory_movements with typed movement_type. No direct UPDATE on inventory_items.current_quantity from anywhere in the codebase.</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F766E"/>
                <w:sz w:val="28"/>
                <w:szCs w:val="28"/>
              </w:rPr>
              <w:t xml:space="preserve">☐</w:t>
            </w:r>
          </w:p>
        </w:tc>
        <w:tc>
          <w:tcPr>
            <w:tcW w:type="dxa" w:w="11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766E"/>
                <w:sz w:val="22"/>
                <w:szCs w:val="22"/>
              </w:rPr>
              <w:t xml:space="preserve">R6c</w:t>
            </w:r>
          </w:p>
        </w:tc>
        <w:tc>
          <w:tcPr>
            <w:tcW w:type="dxa" w:w="74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Receipt commit is one atomic transaction across receipts + receipt_lines + inventory_movements.</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F766E"/>
                <w:sz w:val="28"/>
                <w:szCs w:val="28"/>
              </w:rPr>
              <w:t xml:space="preserve">☐</w:t>
            </w:r>
          </w:p>
        </w:tc>
        <w:tc>
          <w:tcPr>
            <w:tcW w:type="dxa" w:w="11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766E"/>
                <w:sz w:val="22"/>
                <w:szCs w:val="22"/>
              </w:rPr>
              <w:t xml:space="preserve">R6c</w:t>
            </w:r>
          </w:p>
        </w:tc>
        <w:tc>
          <w:tcPr>
            <w:tcW w:type="dxa" w:w="74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Variance is computed and materialized at commit time on receipt_lines (Pattern B).</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F766E"/>
                <w:sz w:val="28"/>
                <w:szCs w:val="28"/>
              </w:rPr>
              <w:t xml:space="preserve">☐</w:t>
            </w:r>
          </w:p>
        </w:tc>
        <w:tc>
          <w:tcPr>
            <w:tcW w:type="dxa" w:w="11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766E"/>
                <w:sz w:val="22"/>
                <w:szCs w:val="22"/>
              </w:rPr>
              <w:t xml:space="preserve">R6c</w:t>
            </w:r>
          </w:p>
        </w:tc>
        <w:tc>
          <w:tcPr>
            <w:tcW w:type="dxa" w:w="74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PO state machine has 8 states with strict transitions: draft, approved, dispatched, awaiting_receipt, received, partially_received, failed_delivery, canceled.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F766E"/>
                <w:sz w:val="28"/>
                <w:szCs w:val="28"/>
              </w:rPr>
              <w:t xml:space="preserve">☐</w:t>
            </w:r>
          </w:p>
        </w:tc>
        <w:tc>
          <w:tcPr>
            <w:tcW w:type="dxa" w:w="11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766E"/>
                <w:sz w:val="22"/>
                <w:szCs w:val="22"/>
              </w:rPr>
              <w:t xml:space="preserve">R6c</w:t>
            </w:r>
          </w:p>
        </w:tc>
        <w:tc>
          <w:tcPr>
            <w:tcW w:type="dxa" w:w="74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partially_received is a separate state from received and surfaces higher on Orders page.</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F766E"/>
                <w:sz w:val="28"/>
                <w:szCs w:val="28"/>
              </w:rPr>
              <w:t xml:space="preserve">☐</w:t>
            </w:r>
          </w:p>
        </w:tc>
        <w:tc>
          <w:tcPr>
            <w:tcW w:type="dxa" w:w="11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766E"/>
                <w:sz w:val="22"/>
                <w:szCs w:val="22"/>
              </w:rPr>
              <w:t xml:space="preserve">R6c</w:t>
            </w:r>
          </w:p>
        </w:tc>
        <w:tc>
          <w:tcPr>
            <w:tcW w:type="dxa" w:w="74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"Didn't arrive" transitions PO to failed_delivery (terminal). Agent re-includes missing ingredients in next nightly run.</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F766E"/>
                <w:sz w:val="28"/>
                <w:szCs w:val="28"/>
              </w:rPr>
              <w:t xml:space="preserve">☐</w:t>
            </w:r>
          </w:p>
        </w:tc>
        <w:tc>
          <w:tcPr>
            <w:tcW w:type="dxa" w:w="11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766E"/>
                <w:sz w:val="22"/>
                <w:szCs w:val="22"/>
              </w:rPr>
              <w:t xml:space="preserve">R6c</w:t>
            </w:r>
          </w:p>
        </w:tc>
        <w:tc>
          <w:tcPr>
            <w:tcW w:type="dxa" w:w="74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Dispatched is locked from in-app edits. Edits are out-of-band (phone call to supplier). Variances at receiving capture actual delivery differences.</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F766E"/>
                <w:sz w:val="28"/>
                <w:szCs w:val="28"/>
              </w:rPr>
              <w:t xml:space="preserve">☐</w:t>
            </w:r>
          </w:p>
        </w:tc>
        <w:tc>
          <w:tcPr>
            <w:tcW w:type="dxa" w:w="11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766E"/>
                <w:sz w:val="22"/>
                <w:szCs w:val="22"/>
              </w:rPr>
              <w:t xml:space="preserve">R6c</w:t>
            </w:r>
          </w:p>
        </w:tc>
        <w:tc>
          <w:tcPr>
            <w:tcW w:type="dxa" w:w="74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Cancel is permitted from draft, approved, dispatched, awaiting_receipt, failed_delivery. NOT from received or partially_received (those have already mutated inventory).</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F766E"/>
                <w:sz w:val="28"/>
                <w:szCs w:val="28"/>
              </w:rPr>
              <w:t xml:space="preserve">☐</w:t>
            </w:r>
          </w:p>
        </w:tc>
        <w:tc>
          <w:tcPr>
            <w:tcW w:type="dxa" w:w="11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766E"/>
                <w:sz w:val="22"/>
                <w:szCs w:val="22"/>
              </w:rPr>
              <w:t xml:space="preserve">R6d</w:t>
            </w:r>
          </w:p>
        </w:tc>
        <w:tc>
          <w:tcPr>
            <w:tcW w:type="dxa" w:w="74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Agent architecture is Model C: nightly batch + bounded set of synchronous handlers.</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F766E"/>
                <w:sz w:val="28"/>
                <w:szCs w:val="28"/>
              </w:rPr>
              <w:t xml:space="preserve">☐</w:t>
            </w:r>
          </w:p>
        </w:tc>
        <w:tc>
          <w:tcPr>
            <w:tcW w:type="dxa" w:w="11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766E"/>
                <w:sz w:val="22"/>
                <w:szCs w:val="22"/>
              </w:rPr>
              <w:t xml:space="preserve">R6d</w:t>
            </w:r>
          </w:p>
        </w:tc>
        <w:tc>
          <w:tcPr>
            <w:tcW w:type="dxa" w:w="74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Synchronous handlers (v1): handle_sale_depletion, handle_receipt_commit, handle_manual_adjust, handle_po_state_change, app-open queries.</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F766E"/>
                <w:sz w:val="28"/>
                <w:szCs w:val="28"/>
              </w:rPr>
              <w:t xml:space="preserve">☐</w:t>
            </w:r>
          </w:p>
        </w:tc>
        <w:tc>
          <w:tcPr>
            <w:tcW w:type="dxa" w:w="11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766E"/>
                <w:sz w:val="22"/>
                <w:szCs w:val="22"/>
              </w:rPr>
              <w:t xml:space="preserve">R6d</w:t>
            </w:r>
          </w:p>
        </w:tc>
        <w:tc>
          <w:tcPr>
            <w:tcW w:type="dxa" w:w="74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Synchronous handlers do simple deterministic state mutations only — no forecast math, no LLM, no PO drafting.</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F766E"/>
                <w:sz w:val="28"/>
                <w:szCs w:val="28"/>
              </w:rPr>
              <w:t xml:space="preserve">☐</w:t>
            </w:r>
          </w:p>
        </w:tc>
        <w:tc>
          <w:tcPr>
            <w:tcW w:type="dxa" w:w="11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766E"/>
                <w:sz w:val="22"/>
                <w:szCs w:val="22"/>
              </w:rPr>
              <w:t xml:space="preserve">R6d</w:t>
            </w:r>
          </w:p>
        </w:tc>
        <w:tc>
          <w:tcPr>
            <w:tcW w:type="dxa" w:w="74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Authoritative agent actions (forecast pipeline, PO drafting, calibration, full timeline regen) happen ONLY in nightly batch.</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F766E"/>
                <w:sz w:val="28"/>
                <w:szCs w:val="28"/>
              </w:rPr>
              <w:t xml:space="preserve">☐</w:t>
            </w:r>
          </w:p>
        </w:tc>
        <w:tc>
          <w:tcPr>
            <w:tcW w:type="dxa" w:w="11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766E"/>
                <w:sz w:val="22"/>
                <w:szCs w:val="22"/>
              </w:rPr>
              <w:t xml:space="preserve">R6d</w:t>
            </w:r>
          </w:p>
        </w:tc>
        <w:tc>
          <w:tcPr>
            <w:tcW w:type="dxa" w:w="74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Notification cycle is Pattern C: nightly batch schedules pushes via OS notification API. Surface state computed synchronously at app-open.</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F766E"/>
                <w:sz w:val="28"/>
                <w:szCs w:val="28"/>
              </w:rPr>
              <w:t xml:space="preserve">☐</w:t>
            </w:r>
          </w:p>
        </w:tc>
        <w:tc>
          <w:tcPr>
            <w:tcW w:type="dxa" w:w="11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766E"/>
                <w:sz w:val="22"/>
                <w:szCs w:val="22"/>
              </w:rPr>
              <w:t xml:space="preserve">R6d</w:t>
            </w:r>
          </w:p>
        </w:tc>
        <w:tc>
          <w:tcPr>
            <w:tcW w:type="dxa" w:w="74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When PO state changes between nightly runs, scheduled pushes are canceled or rescheduled synchronously by handle_po_state_change.</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F766E"/>
                <w:sz w:val="28"/>
                <w:szCs w:val="28"/>
              </w:rPr>
              <w:t xml:space="preserve">☐</w:t>
            </w:r>
          </w:p>
        </w:tc>
        <w:tc>
          <w:tcPr>
            <w:tcW w:type="dxa" w:w="11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766E"/>
                <w:sz w:val="22"/>
                <w:szCs w:val="22"/>
              </w:rPr>
              <w:t xml:space="preserve">R6d</w:t>
            </w:r>
          </w:p>
        </w:tc>
        <w:tc>
          <w:tcPr>
            <w:tcW w:type="dxa" w:w="74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Operationally: no per-hour scheduler, no hourly cron, no always-running notification daemon.</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F766E"/>
                <w:sz w:val="28"/>
                <w:szCs w:val="28"/>
              </w:rPr>
              <w:t xml:space="preserve">☐</w:t>
            </w:r>
          </w:p>
        </w:tc>
        <w:tc>
          <w:tcPr>
            <w:tcW w:type="dxa" w:w="11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766E"/>
                <w:sz w:val="22"/>
                <w:szCs w:val="22"/>
              </w:rPr>
              <w:t xml:space="preserve">RISK</w:t>
            </w:r>
          </w:p>
        </w:tc>
        <w:tc>
          <w:tcPr>
            <w:tcW w:type="dxa" w:w="74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Ticketmaster ToU clearance is tracked as a risk with Vito as owner. Lawyer engagement and partnerships email are in progress.</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F766E"/>
                <w:sz w:val="28"/>
                <w:szCs w:val="28"/>
              </w:rPr>
              <w:t xml:space="preserve">☐</w:t>
            </w:r>
          </w:p>
        </w:tc>
        <w:tc>
          <w:tcPr>
            <w:tcW w:type="dxa" w:w="11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766E"/>
                <w:sz w:val="22"/>
                <w:szCs w:val="22"/>
              </w:rPr>
              <w:t xml:space="preserve">RISK</w:t>
            </w:r>
          </w:p>
        </w:tc>
        <w:tc>
          <w:tcPr>
            <w:tcW w:type="dxa" w:w="74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Notification load is a logged Phase 2 watch item — beta will surface whether OS-level disablement becomes a structural signal.</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2"/>
              <w:left w:val="single" w:color="0F766E" w:sz="12"/>
              <w:bottom w:val="single" w:color="0F766E" w:sz="4"/>
              <w:right w:val="single" w:color="0F766E" w:sz="4"/>
            </w:tcBorders>
            <w:shd w:fill="CCFBF1" w:val="clear"/>
            <w:tcMar>
              <w:top w:type="dxa" w:w="200"/>
              <w:left w:type="dxa" w:w="280"/>
              <w:bottom w:type="dxa" w:w="200"/>
              <w:right w:type="dxa" w:w="280"/>
            </w:tcMar>
          </w:tcPr>
          <w:p>
            <w:pPr>
              <w:spacing w:after="80" w:before="0" w:line="300"/>
            </w:pPr>
            <w:r>
              <w:rPr>
                <w:rFonts w:ascii="Arial" w:cs="Arial" w:eastAsia="Arial" w:hAnsi="Arial"/>
                <w:b/>
                <w:bCs/>
                <w:color w:val="0F172A"/>
                <w:sz w:val="22"/>
                <w:szCs w:val="22"/>
              </w:rPr>
              <w:t xml:space="preserve">How to use this document going forward. </w:t>
            </w:r>
            <w:r>
              <w:rPr>
                <w:rFonts w:ascii="Arial" w:cs="Arial" w:eastAsia="Arial" w:hAnsi="Arial"/>
                <w:color w:val="0F172A"/>
                <w:sz w:val="22"/>
                <w:szCs w:val="22"/>
              </w:rPr>
              <w:t xml:space="preserve">Attach this to every architecture conversation along with v5. Reference the lock numbers (e.g., "per Lock 2.1") when relitigating is unavoidable. If a new round produces a decision that contradicts a lock, the contradiction is what gets flagged and discussed — not the lock.</w:t>
            </w:r>
          </w:p>
          <w:p>
            <w:pPr>
              <w:spacing w:after="80" w:before="80" w:line="300"/>
            </w:pPr>
            <w:r>
              <w:rPr>
                <w:rFonts w:ascii="Arial" w:cs="Arial" w:eastAsia="Arial" w:hAnsi="Arial"/>
                <w:color w:val="0F172A"/>
                <w:sz w:val="22"/>
                <w:szCs w:val="22"/>
              </w:rPr>
              <w:t xml:space="preserve"/>
            </w:r>
          </w:p>
          <w:p>
            <w:pPr>
              <w:spacing w:after="80" w:before="80" w:line="300"/>
            </w:pPr>
            <w:r>
              <w:rPr>
                <w:rFonts w:ascii="Arial" w:cs="Arial" w:eastAsia="Arial" w:hAnsi="Arial"/>
                <w:b/>
                <w:bCs/>
                <w:color w:val="0F172A"/>
                <w:sz w:val="22"/>
                <w:szCs w:val="22"/>
              </w:rPr>
              <w:t xml:space="preserve">Next document: </w:t>
            </w:r>
            <w:r>
              <w:rPr>
                <w:rFonts w:ascii="Arial" w:cs="Arial" w:eastAsia="Arial" w:hAnsi="Arial"/>
                <w:color w:val="0F172A"/>
                <w:sz w:val="22"/>
                <w:szCs w:val="22"/>
              </w:rPr>
              <w:t xml:space="preserve">Architecture Decision Log v3 will be built when the next workstream closes — likely Dashboard architecture, Orders page architecture, or Integration layer architecture, depending on how you sequence them. Same format. Same discipline.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right"/>
    </w:pPr>
    <w:r>
      <w:rPr>
        <w:rFonts w:ascii="Arial" w:cs="Arial" w:eastAsia="Arial" w:hAnsi="Arial"/>
        <w:color w:val="475569"/>
        <w:sz w:val="18"/>
        <w:szCs w:val="18"/>
      </w:rPr>
      <w:t xml:space="preserve">Page </w:t>
    </w:r>
    <w:r>
      <w:rPr>
        <w:rFonts w:ascii="Arial" w:cs="Arial" w:eastAsia="Arial" w:hAnsi="Arial"/>
        <w:color w:val="475569"/>
        <w:sz w:val="18"/>
        <w:szCs w:val="18"/>
      </w:rPr>
      <w:fldChar w:fldCharType="begin"/>
      <w:instrText xml:space="preserve">PAGE</w:instrText>
      <w:fldChar w:fldCharType="separate"/>
      <w:fldChar w:fldCharType="end"/>
    </w:r>
    <w:r>
      <w:rPr>
        <w:rFonts w:ascii="Arial" w:cs="Arial" w:eastAsia="Arial" w:hAnsi="Arial"/>
        <w:color w:val="475569"/>
        <w:sz w:val="18"/>
        <w:szCs w:val="18"/>
      </w:rPr>
      <w:t xml:space="preserve"> of </w:t>
    </w:r>
    <w:r>
      <w:rPr>
        <w:rFonts w:ascii="Arial" w:cs="Arial" w:eastAsia="Arial" w:hAnsi="Arial"/>
        <w:color w:val="47556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766E" w:sz="4" w:space="6"/>
      </w:pBdr>
      <w:spacing w:after="0" w:before="0"/>
      <w:jc w:val="right"/>
    </w:pPr>
    <w:r>
      <w:rPr>
        <w:rFonts w:ascii="Arial" w:cs="Arial" w:eastAsia="Arial" w:hAnsi="Arial"/>
        <w:color w:val="475569"/>
        <w:sz w:val="18"/>
        <w:szCs w:val="18"/>
      </w:rPr>
      <w:t xml:space="preserve">ReorderOS — Architecture Decision Log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F172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0F172A"/>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0F17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b4f0d0360f1efaf4f78040559fef0560c4eff0c.png"/><Relationship Id="rId10" Type="http://schemas.openxmlformats.org/officeDocument/2006/relationships/image" Target="media/5f16436f5a77cb218177116ce0c480f29b22bc7f.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ReorderOS Architecture Decision Log v2</dc:title>
  <dc:creator>Vito (ReorderOS)</dc:creator>
  <dc:description>Depletion loop architecture, Rounds 1-6 closed</dc:description>
  <cp:lastModifiedBy>Un-named</cp:lastModifiedBy>
  <cp:revision>1</cp:revision>
  <dcterms:created xsi:type="dcterms:W3CDTF">2026-04-28T13:33:05.390Z</dcterms:created>
  <dcterms:modified xsi:type="dcterms:W3CDTF">2026-04-28T13:33:05.392Z</dcterms:modified>
</cp:coreProperties>
</file>

<file path=docProps/custom.xml><?xml version="1.0" encoding="utf-8"?>
<Properties xmlns="http://schemas.openxmlformats.org/officeDocument/2006/custom-properties" xmlns:vt="http://schemas.openxmlformats.org/officeDocument/2006/docPropsVTypes"/>
</file>