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766E"/>
          <w:spacing w:val="60"/>
          <w:sz w:val="28"/>
          <w:szCs w:val="28"/>
        </w:rPr>
        <w:t xml:space="preserve">REORDEROS</w:t>
      </w:r>
    </w:p>
    <w:p>
      <w:pPr>
        <w:spacing w:after="80" w:before="0"/>
      </w:pPr>
      <w:r>
        <w:rPr>
          <w:rFonts w:ascii="Arial" w:cs="Arial" w:eastAsia="Arial" w:hAnsi="Arial"/>
          <w:b/>
          <w:bCs/>
          <w:color w:val="0F172A"/>
          <w:sz w:val="44"/>
          <w:szCs w:val="44"/>
        </w:rPr>
        <w:t xml:space="preserve">Sales Page Architecture</w:t>
      </w:r>
    </w:p>
    <w:p>
      <w:pPr>
        <w:spacing w:after="320" w:before="0"/>
      </w:pPr>
      <w:r>
        <w:rPr>
          <w:rFonts w:ascii="Arial" w:cs="Arial" w:eastAsia="Arial" w:hAnsi="Arial"/>
          <w:i/>
          <w:iCs/>
          <w:color w:val="475569"/>
          <w:sz w:val="26"/>
          <w:szCs w:val="26"/>
        </w:rPr>
        <w:t xml:space="preserve">Workstream 11 — Four-tab data architecture with mathematical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Document purpose. </w:t>
            </w:r>
            <w:r>
              <w:rPr>
                <w:rFonts w:ascii="Arial" w:cs="Arial" w:eastAsia="Arial" w:hAnsi="Arial"/>
                <w:color w:val="0F172A"/>
                <w:sz w:val="22"/>
                <w:szCs w:val="22"/>
              </w:rPr>
              <w:t xml:space="preserve">This is the standalone reference document for ReorderOS's Sales page data architecture. The Sales page is built as a four-tab interface (Overview / Menu / Dayparts / Moves) with substantial domain-specific intelligence baked in. This document captures the data architecture, computation logic, and mathematical formulas that back each tab — locked to match the existing built UI.</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Status. </w:t>
            </w:r>
            <w:r>
              <w:rPr>
                <w:rFonts w:ascii="Arial" w:cs="Arial" w:eastAsia="Arial" w:hAnsi="Arial"/>
                <w:color w:val="0F172A"/>
                <w:sz w:val="22"/>
                <w:szCs w:val="22"/>
              </w:rPr>
              <w:t xml:space="preserve">Workstream 11 fully closed. 138 locks across four sub-rounds (11a-11d). The document also captures three supersessions (Lock 9.27 → 11.41, Lock 9.63 → 11.118, Lock 11.147 → 11.163) and ten retracted locks (11.11–11.20 + 11.29) where earlier composition assumptions were corrected against the built design.</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Scope. </w:t>
            </w:r>
            <w:r>
              <w:rPr>
                <w:rFonts w:ascii="Arial" w:cs="Arial" w:eastAsia="Arial" w:hAnsi="Arial"/>
                <w:color w:val="0F172A"/>
                <w:sz w:val="22"/>
                <w:szCs w:val="22"/>
              </w:rPr>
              <w:t xml:space="preserve">Tab-by-tab data architecture. Mathematical formulas for the BCG quadrant, price elasticity, dayparts heatmap, dead zone detection, weather correlations, and all six opportunity generators on the Moves tab. Cross-cutting principles enforced across all surfaces. Phase 2 enablement paths documented.</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Out of scope. </w:t>
            </w:r>
            <w:r>
              <w:rPr>
                <w:rFonts w:ascii="Arial" w:cs="Arial" w:eastAsia="Arial" w:hAnsi="Arial"/>
                <w:color w:val="0F172A"/>
                <w:sz w:val="22"/>
                <w:szCs w:val="22"/>
              </w:rPr>
              <w:t xml:space="preserve">Specific UI implementation details beyond the architectural commitments (deferred to component implementation). Specific Anthropic prompts for any surface (already covered by Workstream 9 architecture). Mobile/tablet rendering specifics beyond layout posture.</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Companion documents. </w:t>
            </w:r>
            <w:r>
              <w:rPr>
                <w:rFonts w:ascii="Arial" w:cs="Arial" w:eastAsia="Arial" w:hAnsi="Arial"/>
                <w:color w:val="0F172A"/>
                <w:sz w:val="22"/>
                <w:szCs w:val="22"/>
              </w:rPr>
              <w:t xml:space="preserve">Architecture Decision Log v3 (Workstreams 1-7). Database Architecture v2 (Workstream 8). Integration &amp; Price Intelligence v1 (Workstreams 9 + 10). Onboarding Decision Log v5. This document references locks from all four.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Field</w:t>
            </w:r>
          </w:p>
        </w:tc>
        <w:tc>
          <w:tcPr>
            <w:tcW w:type="dxa" w:w="6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Document version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11 — Sales page architecture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Sub-rounds covered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11a (Overview) + 11b (Menu) + 11c (Dayparts) + 11d (Moves)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Locks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138 total, numbered 11.32–11.169 (with 11.11–11.20 + 11.29 retracted)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Supersessions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9.27 → 11.41, Lock 9.63 → 11.118, Lock 11.147 → 11.163</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Cross-cutting principles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11.31, 11.57, 11.69, 11.91, 11.125, 11.137, 11.138, 11.168</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Status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Workstream 11 fully closed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Companion docs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ADL v3, DB Arch v2, Integration &amp; PI v1, Onboarding v5</w:t>
            </w:r>
          </w:p>
        </w:tc>
      </w:tr>
    </w:tbl>
    <w:p>
      <w:r>
        <w:br w:type="page"/>
      </w:r>
    </w:p>
    <w:p>
      <w:pPr>
        <w:pStyle w:val="Heading1"/>
        <w:spacing w:after="160" w:before="360"/>
      </w:pPr>
      <w:r>
        <w:rPr>
          <w:rFonts w:ascii="Arial" w:cs="Arial" w:eastAsia="Arial" w:hAnsi="Arial"/>
          <w:b/>
          <w:bCs/>
          <w:color w:val="0F172A"/>
          <w:sz w:val="36"/>
          <w:szCs w:val="36"/>
        </w:rPr>
        <w:t xml:space="preserve">Contents</w:t>
      </w:r>
    </w:p>
    <w:p>
      <w:pPr>
        <w:spacing w:after="60" w:before="60"/>
      </w:pPr>
      <w:r>
        <w:rPr>
          <w:rFonts w:ascii="Arial" w:cs="Arial" w:eastAsia="Arial" w:hAnsi="Arial"/>
          <w:color w:val="0F172A"/>
          <w:sz w:val="22"/>
          <w:szCs w:val="22"/>
        </w:rPr>
        <w:t xml:space="preserve">1.  Executive snapshot — the consequential locks</w:t>
      </w:r>
    </w:p>
    <w:p>
      <w:pPr>
        <w:spacing w:after="60" w:before="60"/>
      </w:pPr>
      <w:r>
        <w:rPr>
          <w:rFonts w:ascii="Arial" w:cs="Arial" w:eastAsia="Arial" w:hAnsi="Arial"/>
          <w:color w:val="0F172A"/>
          <w:sz w:val="22"/>
          <w:szCs w:val="22"/>
        </w:rPr>
        <w:t xml:space="preserve">2.  How this workstream relates to the built JSX</w:t>
      </w:r>
    </w:p>
    <w:p>
      <w:pPr>
        <w:spacing w:after="60" w:before="60"/>
      </w:pPr>
      <w:r>
        <w:rPr>
          <w:rFonts w:ascii="Arial" w:cs="Arial" w:eastAsia="Arial" w:hAnsi="Arial"/>
          <w:color w:val="0F172A"/>
          <w:sz w:val="22"/>
          <w:szCs w:val="22"/>
        </w:rPr>
        <w:t xml:space="preserve">3.  Retractions and supersessions</w:t>
      </w:r>
    </w:p>
    <w:p>
      <w:pPr>
        <w:spacing w:after="60" w:before="60"/>
      </w:pPr>
      <w:r>
        <w:rPr>
          <w:rFonts w:ascii="Arial" w:cs="Arial" w:eastAsia="Arial" w:hAnsi="Arial"/>
          <w:color w:val="0F172A"/>
          <w:sz w:val="22"/>
          <w:szCs w:val="22"/>
        </w:rPr>
        <w:t xml:space="preserve">4.  Cross-cutting principles enforced</w:t>
      </w:r>
    </w:p>
    <w:p>
      <w:pPr>
        <w:spacing w:after="60" w:before="60"/>
      </w:pPr>
      <w:r>
        <w:rPr>
          <w:rFonts w:ascii="Arial" w:cs="Arial" w:eastAsia="Arial" w:hAnsi="Arial"/>
          <w:color w:val="0F172A"/>
          <w:sz w:val="22"/>
          <w:szCs w:val="22"/>
        </w:rPr>
        <w:t xml:space="preserve">5.  Sub-round 11a — Overview tab</w:t>
      </w:r>
    </w:p>
    <w:p>
      <w:pPr>
        <w:spacing w:after="60" w:before="60"/>
      </w:pPr>
      <w:r>
        <w:rPr>
          <w:rFonts w:ascii="Arial" w:cs="Arial" w:eastAsia="Arial" w:hAnsi="Arial"/>
          <w:color w:val="0F172A"/>
          <w:sz w:val="22"/>
          <w:szCs w:val="22"/>
        </w:rPr>
        <w:t xml:space="preserve">6.  Sub-round 11b — Menu tab</w:t>
      </w:r>
    </w:p>
    <w:p>
      <w:pPr>
        <w:spacing w:after="60" w:before="60"/>
      </w:pPr>
      <w:r>
        <w:rPr>
          <w:rFonts w:ascii="Arial" w:cs="Arial" w:eastAsia="Arial" w:hAnsi="Arial"/>
          <w:color w:val="0F172A"/>
          <w:sz w:val="22"/>
          <w:szCs w:val="22"/>
        </w:rPr>
        <w:t xml:space="preserve">7.  Sub-round 11c — Dayparts tab</w:t>
      </w:r>
    </w:p>
    <w:p>
      <w:pPr>
        <w:spacing w:after="60" w:before="60"/>
      </w:pPr>
      <w:r>
        <w:rPr>
          <w:rFonts w:ascii="Arial" w:cs="Arial" w:eastAsia="Arial" w:hAnsi="Arial"/>
          <w:color w:val="0F172A"/>
          <w:sz w:val="22"/>
          <w:szCs w:val="22"/>
        </w:rPr>
        <w:t xml:space="preserve">8.  Sub-round 11d — Moves tab</w:t>
      </w:r>
    </w:p>
    <w:p>
      <w:pPr>
        <w:spacing w:after="60" w:before="60"/>
      </w:pPr>
      <w:r>
        <w:rPr>
          <w:rFonts w:ascii="Arial" w:cs="Arial" w:eastAsia="Arial" w:hAnsi="Arial"/>
          <w:color w:val="0F172A"/>
          <w:sz w:val="22"/>
          <w:szCs w:val="22"/>
        </w:rPr>
        <w:t xml:space="preserve">9.  All mathematical models in one place</w:t>
      </w:r>
    </w:p>
    <w:p>
      <w:pPr>
        <w:spacing w:after="60" w:before="60"/>
      </w:pPr>
      <w:r>
        <w:rPr>
          <w:rFonts w:ascii="Arial" w:cs="Arial" w:eastAsia="Arial" w:hAnsi="Arial"/>
          <w:color w:val="0F172A"/>
          <w:sz w:val="22"/>
          <w:szCs w:val="22"/>
        </w:rPr>
        <w:t xml:space="preserve">10. Architecture diagram</w:t>
      </w:r>
    </w:p>
    <w:p>
      <w:pPr>
        <w:spacing w:after="60" w:before="60"/>
      </w:pPr>
      <w:r>
        <w:rPr>
          <w:rFonts w:ascii="Arial" w:cs="Arial" w:eastAsia="Arial" w:hAnsi="Arial"/>
          <w:color w:val="0F172A"/>
          <w:sz w:val="22"/>
          <w:szCs w:val="22"/>
        </w:rPr>
        <w:t xml:space="preserve">11. Engineering scope and Phase 2 paths</w:t>
      </w:r>
    </w:p>
    <w:p>
      <w:pPr>
        <w:spacing w:after="60" w:before="60"/>
      </w:pPr>
      <w:r>
        <w:rPr>
          <w:rFonts w:ascii="Arial" w:cs="Arial" w:eastAsia="Arial" w:hAnsi="Arial"/>
          <w:color w:val="0F172A"/>
          <w:sz w:val="22"/>
          <w:szCs w:val="22"/>
        </w:rPr>
        <w:t xml:space="preserve">12. Open items and what comes next</w:t>
      </w:r>
    </w:p>
    <w:p>
      <w:r>
        <w:br w:type="page"/>
      </w:r>
    </w:p>
    <w:p>
      <w:pPr>
        <w:pStyle w:val="Heading1"/>
        <w:spacing w:after="160" w:before="360"/>
      </w:pPr>
      <w:r>
        <w:rPr>
          <w:rFonts w:ascii="Arial" w:cs="Arial" w:eastAsia="Arial" w:hAnsi="Arial"/>
          <w:b/>
          <w:bCs/>
          <w:color w:val="0F172A"/>
          <w:sz w:val="36"/>
          <w:szCs w:val="36"/>
        </w:rPr>
        <w:t xml:space="preserve">1. Executive snapshot — the consequential locks</w:t>
      </w:r>
    </w:p>
    <w:p>
      <w:pPr>
        <w:spacing w:after="80" w:before="80" w:line="300"/>
      </w:pPr>
      <w:r>
        <w:rPr>
          <w:rFonts w:ascii="Arial" w:cs="Arial" w:eastAsia="Arial" w:hAnsi="Arial"/>
          <w:color w:val="0F172A"/>
          <w:sz w:val="22"/>
          <w:szCs w:val="22"/>
        </w:rPr>
        <w:t xml:space="preserve">Eight decisions across Workstream 11 carry the most architectural weight. They define the principles that make the Sales page trustworthy as an analytical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A — The Sales page is four tabs (Overview / Menu / Dayparts / Moves), not a single layered page. </w:t>
            </w:r>
            <w:r>
              <w:rPr>
                <w:rFonts w:ascii="Arial" w:cs="Arial" w:eastAsia="Arial" w:hAnsi="Arial"/>
                <w:color w:val="0F172A"/>
                <w:sz w:val="22"/>
                <w:szCs w:val="22"/>
              </w:rPr>
              <w:t xml:space="preserve">Earlier composition locks (11.11–11.20) were retracted when the built JSX was reviewed. The architecture re-anchored around the four-tab structure with each tab as its own data architecture concern. The four-tab structure is the canonical analytical composition for v1.</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B — Channel enum split: dine_in and takeout are separate, not combined as in_house. </w:t>
            </w:r>
            <w:r>
              <w:rPr>
                <w:rFonts w:ascii="Arial" w:cs="Arial" w:eastAsia="Arial" w:hAnsi="Arial"/>
                <w:color w:val="0F172A"/>
                <w:sz w:val="22"/>
                <w:szCs w:val="22"/>
              </w:rPr>
              <w:t xml:space="preserve">Lock 9.27 superseded by Lock 11.41. Canonical channel enum is now dine_in, takeout, doordash, ubereats, skip_the_dishes, other. POS adapters map vendor channels to the finer-grained enum. Built design's UI was correct; the prior lock was wrong.</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C — BCG menu engineering uses Kasavana-Smith Method 3 with 70% popularity threshold. </w:t>
            </w:r>
            <w:r>
              <w:rPr>
                <w:rFonts w:ascii="Arial" w:cs="Arial" w:eastAsia="Arial" w:hAnsi="Arial"/>
                <w:color w:val="0F172A"/>
                <w:sz w:val="22"/>
                <w:szCs w:val="22"/>
              </w:rPr>
              <w:t xml:space="preserve">Industry-standard convention from 1982 Kasavana-Smith paper. Star = popularity_index ≥ 0.70 AND margin ≥ menu average. Fully deterministic from data. Domain convention disclosed in UI rather than treated as magic. Locks 11.61–11.69.</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D — Price elasticity uses three-tier fallback: per-item / tenant menu-wide / industry default. </w:t>
            </w:r>
            <w:r>
              <w:rPr>
                <w:rFonts w:ascii="Arial" w:cs="Arial" w:eastAsia="Arial" w:hAnsi="Arial"/>
                <w:color w:val="0F172A"/>
                <w:sz w:val="22"/>
                <w:szCs w:val="22"/>
              </w:rPr>
              <w:t xml:space="preserve">Per-item from regression when ≥3 price changes exist. Tenant menu-wide average as fallback. Industry default 1.2 as final fallback. Bounded to [0.2, 3.0] to reject regression artifacts. Confidence label discloses tier. Locks 11.70–11.80.</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E — Dayparts heatmap uses 12-week trailing window with outlier exclusion. </w:t>
            </w:r>
            <w:r>
              <w:rPr>
                <w:rFonts w:ascii="Arial" w:cs="Arial" w:eastAsia="Arial" w:hAnsi="Arial"/>
                <w:color w:val="0F172A"/>
                <w:sz w:val="22"/>
                <w:szCs w:val="22"/>
              </w:rPr>
              <w:t xml:space="preserve">Per (tenant, day_of_week, hour_of_day) cell, mean of 12 weekly observations excluding values &gt;2σ. Per-tenant percentile color normalization so each tenant's peaks visualize correctly relative to their own scale. Locks 11.92–11.100.</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F — Six opportunity generators with documented mathematical formulas, bounded constants. </w:t>
            </w:r>
            <w:r>
              <w:rPr>
                <w:rFonts w:ascii="Arial" w:cs="Arial" w:eastAsia="Arial" w:hAnsi="Arial"/>
                <w:color w:val="0F172A"/>
                <w:sz w:val="22"/>
                <w:szCs w:val="22"/>
              </w:rPr>
              <w:t xml:space="preserve">Time-block promo, pricing change, weather campaign, winback, bundling, dead-hour promo. Each has an explicit formula with bounded industry-benchmark constants (capture rates 0.40 / 0.65 / 0.55 / 0.22 / 0.30). Phase 2 path: per-tenant calibration from observed outcomes. Locks 11.144–11.146.</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G — Anthropic produces structured outputs only, never opinion-bearing prose. </w:t>
            </w:r>
            <w:r>
              <w:rPr>
                <w:rFonts w:ascii="Arial" w:cs="Arial" w:eastAsia="Arial" w:hAnsi="Arial"/>
                <w:color w:val="0F172A"/>
                <w:sz w:val="22"/>
                <w:szCs w:val="22"/>
              </w:rPr>
              <w:t xml:space="preserve">Star/Kill callouts, action recommendations, opportunity narratives — all use deterministic templates filled with metrics. ReorderOS authors recommendations; LLM does not generate the system's voice. Cross-cutting Locks 11.57 and 11.91.</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H — "Run this" creates tracked plans, not executions. </w:t>
            </w:r>
            <w:r>
              <w:rPr>
                <w:rFonts w:ascii="Arial" w:cs="Arial" w:eastAsia="Arial" w:hAnsi="Arial"/>
                <w:color w:val="0F172A"/>
                <w:sz w:val="22"/>
                <w:szCs w:val="22"/>
              </w:rPr>
              <w:t xml:space="preserve">Read-only POS scope reaffirmed (Lock 9.36). Owner executes in their tools; ReorderOS tracks intent and outcomes. Outcome observation job compares projected vs. actual lift over time, building empirical accuracy track record. Locks 11.153–11.169.</w:t>
            </w:r>
          </w:p>
        </w:tc>
      </w:tr>
    </w:tbl>
    <w:p>
      <w:r>
        <w:br w:type="page"/>
      </w:r>
    </w:p>
    <w:p>
      <w:pPr>
        <w:pStyle w:val="Heading1"/>
        <w:spacing w:after="160" w:before="360"/>
      </w:pPr>
      <w:r>
        <w:rPr>
          <w:rFonts w:ascii="Arial" w:cs="Arial" w:eastAsia="Arial" w:hAnsi="Arial"/>
          <w:b/>
          <w:bCs/>
          <w:color w:val="0F172A"/>
          <w:sz w:val="36"/>
          <w:szCs w:val="36"/>
        </w:rPr>
        <w:t xml:space="preserve">2. How this workstream relates to the built JSX</w:t>
      </w:r>
    </w:p>
    <w:p>
      <w:pPr>
        <w:spacing w:after="80" w:before="80" w:line="300"/>
      </w:pPr>
      <w:r>
        <w:rPr>
          <w:rFonts w:ascii="Arial" w:cs="Arial" w:eastAsia="Arial" w:hAnsi="Arial"/>
          <w:color w:val="0F172A"/>
          <w:sz w:val="22"/>
          <w:szCs w:val="22"/>
        </w:rPr>
        <w:t xml:space="preserve">Workstream 11 began with the standard pattern: Claude proposed composition options (Pattern A/B/C/D for hero zone, chip zone, grid). Mid-Round 11a, Vito uploaded a zip containing the existing built design (ScreenSales.jsx, 484 lines) with the explicit instruction: "this is what is built, I don't want the design to change."</w:t>
      </w:r>
    </w:p>
    <w:p>
      <w:pPr>
        <w:spacing w:after="80" w:before="80" w:line="300"/>
      </w:pPr>
      <w:r>
        <w:rPr>
          <w:rFonts w:ascii="Arial" w:cs="Arial" w:eastAsia="Arial" w:hAnsi="Arial"/>
          <w:color w:val="0F172A"/>
          <w:sz w:val="22"/>
          <w:szCs w:val="22"/>
        </w:rPr>
        <w:t xml:space="preserve">That moment changed the workstream's nature. Rather than designing a Sales page, the workstream became: lock the data architecture, computation logic, and mathematical formulas that make the existing UI work correctly.</w:t>
      </w:r>
    </w:p>
    <w:p>
      <w:pPr>
        <w:pStyle w:val="Heading2"/>
        <w:spacing w:after="120" w:before="280"/>
      </w:pPr>
      <w:r>
        <w:rPr>
          <w:rFonts w:ascii="Arial" w:cs="Arial" w:eastAsia="Arial" w:hAnsi="Arial"/>
          <w:b/>
          <w:bCs/>
          <w:color w:val="0F172A"/>
          <w:sz w:val="28"/>
          <w:szCs w:val="28"/>
        </w:rPr>
        <w:t xml:space="preserve">2.1 The four tabs in the built 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360"/>
      </w:tblGrid>
      <w:tr>
        <w:trPr>
          <w:tblHeader/>
        </w:trPr>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Tab</w:t>
            </w:r>
          </w:p>
        </w:tc>
        <w:tc>
          <w:tcPr>
            <w:tcW w:type="dxa" w:w="6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Built JSX components</w:t>
            </w:r>
          </w:p>
        </w:tc>
        <w:tc>
          <w:tcPr>
            <w:tcW w:type="dxa" w:w="1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Sub-round</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Overview</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Category mix donut, Channel cards (with fee pills), Top 5 by revenue, RISING/KILL callouts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11a</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Menu</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BCG quadrant chart, Selected item detail, Price elasticity curve, Action plan, Quadrant guide legend</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11b</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Dayparts</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7×16 heatmap, Selected cell detail, Dead zones callout, Peak hours callout, Weather sensitivity correlations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11c</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Moves</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Top summary card, Ranked opportunity cards (expandable), Confidence indicators, "Run this" + "Show math" actions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11d</w:t>
            </w:r>
          </w:p>
        </w:tc>
      </w:tr>
    </w:tbl>
    <w:p>
      <w:pPr>
        <w:pStyle w:val="Heading2"/>
        <w:spacing w:after="120" w:before="280"/>
      </w:pPr>
      <w:r>
        <w:rPr>
          <w:rFonts w:ascii="Arial" w:cs="Arial" w:eastAsia="Arial" w:hAnsi="Arial"/>
          <w:b/>
          <w:bCs/>
          <w:color w:val="0F172A"/>
          <w:sz w:val="28"/>
          <w:szCs w:val="28"/>
        </w:rPr>
        <w:t xml:space="preserve">2.2 The Segmented control</w:t>
      </w:r>
    </w:p>
    <w:p>
      <w:pPr>
        <w:spacing w:after="80" w:before="80" w:line="300"/>
      </w:pPr>
      <w:r>
        <w:rPr>
          <w:rFonts w:ascii="Arial" w:cs="Arial" w:eastAsia="Arial" w:hAnsi="Arial"/>
          <w:color w:val="0F172A"/>
          <w:sz w:val="22"/>
          <w:szCs w:val="22"/>
        </w:rPr>
        <w:t xml:space="preserve">Built design uses a Segmented control (ScreenSales.jsx lines 12-22) with four options. State held in tab variable. Each tab renders a separate component: SalesOverview, SalesMenu, SalesDayparts, SalesOps. The architecture honors this composition.</w:t>
      </w:r>
    </w:p>
    <w:p>
      <w:pPr>
        <w:pStyle w:val="Heading2"/>
        <w:spacing w:after="120" w:before="280"/>
      </w:pPr>
      <w:r>
        <w:rPr>
          <w:rFonts w:ascii="Arial" w:cs="Arial" w:eastAsia="Arial" w:hAnsi="Arial"/>
          <w:b/>
          <w:bCs/>
          <w:color w:val="0F172A"/>
          <w:sz w:val="28"/>
          <w:szCs w:val="28"/>
        </w:rPr>
        <w:t xml:space="preserve">2.3 What the JSX gets right that the architecture had to catch up to</w:t>
      </w:r>
    </w:p>
    <w:p>
      <w:pPr>
        <w:pStyle w:val="ListParagraph"/>
        <w:numPr>
          <w:ilvl w:val="0"/>
          <w:numId w:val="2"/>
        </w:numPr>
        <w:spacing w:after="60" w:before="60" w:line="300"/>
      </w:pPr>
      <w:r>
        <w:rPr>
          <w:rFonts w:ascii="Arial" w:cs="Arial" w:eastAsia="Arial" w:hAnsi="Arial"/>
          <w:b/>
          <w:bCs/>
          <w:color w:val="0F172A"/>
          <w:sz w:val="22"/>
          <w:szCs w:val="22"/>
        </w:rPr>
        <w:t xml:space="preserve">The four-tab structure as analytical composition. </w:t>
      </w:r>
      <w:r>
        <w:rPr>
          <w:rFonts w:ascii="Arial" w:cs="Arial" w:eastAsia="Arial" w:hAnsi="Arial"/>
          <w:color w:val="0F172A"/>
          <w:sz w:val="22"/>
          <w:szCs w:val="22"/>
        </w:rPr>
        <w:t xml:space="preserve">Earlier locks proposed hero+chips+grid. The build's tabbed segmentation works better for analytical depth on mobile.</w:t>
      </w:r>
    </w:p>
    <w:p>
      <w:pPr>
        <w:pStyle w:val="ListParagraph"/>
        <w:numPr>
          <w:ilvl w:val="0"/>
          <w:numId w:val="2"/>
        </w:numPr>
        <w:spacing w:after="60" w:before="60" w:line="300"/>
      </w:pPr>
      <w:r>
        <w:rPr>
          <w:rFonts w:ascii="Arial" w:cs="Arial" w:eastAsia="Arial" w:hAnsi="Arial"/>
          <w:b/>
          <w:bCs/>
          <w:color w:val="0F172A"/>
          <w:sz w:val="22"/>
          <w:szCs w:val="22"/>
        </w:rPr>
        <w:t xml:space="preserve">Channel split: Dine-in vs Takeout. </w:t>
      </w:r>
      <w:r>
        <w:rPr>
          <w:rFonts w:ascii="Arial" w:cs="Arial" w:eastAsia="Arial" w:hAnsi="Arial"/>
          <w:color w:val="0F172A"/>
          <w:sz w:val="22"/>
          <w:szCs w:val="22"/>
        </w:rPr>
        <w:t xml:space="preserve">Lock 9.27's enum lumped these as in_house. Build correctly splits them — operationally distinct (different cost structures, different staffing, different time profiles).</w:t>
      </w:r>
    </w:p>
    <w:p>
      <w:pPr>
        <w:pStyle w:val="ListParagraph"/>
        <w:numPr>
          <w:ilvl w:val="0"/>
          <w:numId w:val="2"/>
        </w:numPr>
        <w:spacing w:after="60" w:before="60" w:line="300"/>
      </w:pPr>
      <w:r>
        <w:rPr>
          <w:rFonts w:ascii="Arial" w:cs="Arial" w:eastAsia="Arial" w:hAnsi="Arial"/>
          <w:b/>
          <w:bCs/>
          <w:color w:val="0F172A"/>
          <w:sz w:val="22"/>
          <w:szCs w:val="22"/>
        </w:rPr>
        <w:t xml:space="preserve">Fee transparency on channel cards. </w:t>
      </w:r>
      <w:r>
        <w:rPr>
          <w:rFonts w:ascii="Arial" w:cs="Arial" w:eastAsia="Arial" w:hAnsi="Arial"/>
          <w:color w:val="0F172A"/>
          <w:sz w:val="22"/>
          <w:szCs w:val="22"/>
        </w:rPr>
        <w:t xml:space="preserve">Build shows -$600 fees pill on DoorDash/UberEats. Net column was already in the design when commission rates locked in 11b.</w:t>
      </w:r>
    </w:p>
    <w:p>
      <w:pPr>
        <w:pStyle w:val="ListParagraph"/>
        <w:numPr>
          <w:ilvl w:val="0"/>
          <w:numId w:val="2"/>
        </w:numPr>
        <w:spacing w:after="60" w:before="60" w:line="300"/>
      </w:pPr>
      <w:r>
        <w:rPr>
          <w:rFonts w:ascii="Arial" w:cs="Arial" w:eastAsia="Arial" w:hAnsi="Arial"/>
          <w:b/>
          <w:bCs/>
          <w:color w:val="0F172A"/>
          <w:sz w:val="22"/>
          <w:szCs w:val="22"/>
        </w:rPr>
        <w:t xml:space="preserve">Predictive framing on Moves. </w:t>
      </w:r>
      <w:r>
        <w:rPr>
          <w:rFonts w:ascii="Arial" w:cs="Arial" w:eastAsia="Arial" w:hAnsi="Arial"/>
          <w:color w:val="0F172A"/>
          <w:sz w:val="22"/>
          <w:szCs w:val="22"/>
        </w:rPr>
        <w:t xml:space="preserve">Build's "IF YOU RUN ALL 6 MOVES" header already conditional. Aligned with Lock 11.138's predictive framing principle.</w:t>
      </w:r>
    </w:p>
    <w:p>
      <w:pPr>
        <w:pStyle w:val="ListParagraph"/>
        <w:numPr>
          <w:ilvl w:val="0"/>
          <w:numId w:val="2"/>
        </w:numPr>
        <w:spacing w:after="60" w:before="60" w:line="300"/>
      </w:pPr>
      <w:r>
        <w:rPr>
          <w:rFonts w:ascii="Arial" w:cs="Arial" w:eastAsia="Arial" w:hAnsi="Arial"/>
          <w:b/>
          <w:bCs/>
          <w:color w:val="0F172A"/>
          <w:sz w:val="22"/>
          <w:szCs w:val="22"/>
        </w:rPr>
        <w:t xml:space="preserve">"Show math" button on opportunity cards. </w:t>
      </w:r>
      <w:r>
        <w:rPr>
          <w:rFonts w:ascii="Arial" w:cs="Arial" w:eastAsia="Arial" w:hAnsi="Arial"/>
          <w:color w:val="0F172A"/>
          <w:sz w:val="22"/>
          <w:szCs w:val="22"/>
        </w:rPr>
        <w:t xml:space="preserve">Build had this as a placeholder; Lock 11.148 made it a real architectural commitment with input_data_snapshot for reproducibility.</w:t>
      </w:r>
    </w:p>
    <w:p>
      <w:pPr>
        <w:pStyle w:val="Heading2"/>
        <w:spacing w:after="120" w:before="280"/>
      </w:pPr>
      <w:r>
        <w:rPr>
          <w:rFonts w:ascii="Arial" w:cs="Arial" w:eastAsia="Arial" w:hAnsi="Arial"/>
          <w:b/>
          <w:bCs/>
          <w:color w:val="0F172A"/>
          <w:sz w:val="28"/>
          <w:szCs w:val="28"/>
        </w:rPr>
        <w:t xml:space="preserve">2.4 What the architecture had to correct in the JSX</w:t>
      </w:r>
    </w:p>
    <w:p>
      <w:pPr>
        <w:pStyle w:val="ListParagraph"/>
        <w:numPr>
          <w:ilvl w:val="0"/>
          <w:numId w:val="2"/>
        </w:numPr>
        <w:spacing w:after="60" w:before="60" w:line="300"/>
      </w:pPr>
      <w:r>
        <w:rPr>
          <w:rFonts w:ascii="Arial" w:cs="Arial" w:eastAsia="Arial" w:hAnsi="Arial"/>
          <w:b/>
          <w:bCs/>
          <w:color w:val="0F172A"/>
          <w:sz w:val="22"/>
          <w:szCs w:val="22"/>
        </w:rPr>
        <w:t xml:space="preserve">"ACTION PLAN · CLAUDE" label retired. </w:t>
      </w:r>
      <w:r>
        <w:rPr>
          <w:rFonts w:ascii="Arial" w:cs="Arial" w:eastAsia="Arial" w:hAnsi="Arial"/>
          <w:color w:val="0F172A"/>
          <w:sz w:val="22"/>
          <w:szCs w:val="22"/>
        </w:rPr>
        <w:t xml:space="preserve">Implies LLM authorship; reality is templated. Renamed "WHAT REORDEROS RECOMMENDS" per Lock 11.82.</w:t>
      </w:r>
    </w:p>
    <w:p>
      <w:pPr>
        <w:pStyle w:val="ListParagraph"/>
        <w:numPr>
          <w:ilvl w:val="0"/>
          <w:numId w:val="2"/>
        </w:numPr>
        <w:spacing w:after="60" w:before="60" w:line="300"/>
      </w:pPr>
      <w:r>
        <w:rPr>
          <w:rFonts w:ascii="Arial" w:cs="Arial" w:eastAsia="Arial" w:hAnsi="Arial"/>
          <w:b/>
          <w:bCs/>
          <w:color w:val="0F172A"/>
          <w:sz w:val="22"/>
          <w:szCs w:val="22"/>
        </w:rPr>
        <w:t xml:space="preserve">"Pulled from Environment Canada" reference corrected. </w:t>
      </w:r>
      <w:r>
        <w:rPr>
          <w:rFonts w:ascii="Arial" w:cs="Arial" w:eastAsia="Arial" w:hAnsi="Arial"/>
          <w:color w:val="0F172A"/>
          <w:sz w:val="22"/>
          <w:szCs w:val="22"/>
        </w:rPr>
        <w:t xml:space="preserve">Real provider is Open-Meteo per Lock 9.47. Lock 11.133 supersedes the JSX placeholder.</w:t>
      </w:r>
    </w:p>
    <w:p>
      <w:pPr>
        <w:pStyle w:val="ListParagraph"/>
        <w:numPr>
          <w:ilvl w:val="0"/>
          <w:numId w:val="2"/>
        </w:numPr>
        <w:spacing w:after="60" w:before="60" w:line="300"/>
      </w:pPr>
      <w:r>
        <w:rPr>
          <w:rFonts w:ascii="Arial" w:cs="Arial" w:eastAsia="Arial" w:hAnsi="Arial"/>
          <w:b/>
          <w:bCs/>
          <w:color w:val="0F172A"/>
          <w:sz w:val="22"/>
          <w:szCs w:val="22"/>
        </w:rPr>
        <w:t xml:space="preserve">"Based on peer-cohort benchmarks (28 GTA cafés)" line cut from top summary. </w:t>
      </w:r>
      <w:r>
        <w:rPr>
          <w:rFonts w:ascii="Arial" w:cs="Arial" w:eastAsia="Arial" w:hAnsi="Arial"/>
          <w:color w:val="0F172A"/>
          <w:sz w:val="22"/>
          <w:szCs w:val="22"/>
        </w:rPr>
        <w:t xml:space="preserve">Cross-tenant data is Phase 2 (Lock 10.45). Replaced with tenant-data-grounded language per Lock 11.142.</w:t>
      </w:r>
    </w:p>
    <w:p>
      <w:pPr>
        <w:pStyle w:val="ListParagraph"/>
        <w:numPr>
          <w:ilvl w:val="0"/>
          <w:numId w:val="2"/>
        </w:numPr>
        <w:spacing w:after="60" w:before="60" w:line="300"/>
      </w:pPr>
      <w:r>
        <w:rPr>
          <w:rFonts w:ascii="Arial" w:cs="Arial" w:eastAsia="Arial" w:hAnsi="Arial"/>
          <w:b/>
          <w:bCs/>
          <w:color w:val="0F172A"/>
          <w:sz w:val="22"/>
          <w:szCs w:val="22"/>
        </w:rPr>
        <w:t xml:space="preserve">Hardcoded selValue * 19.5 ticket multiplier. </w:t>
      </w:r>
      <w:r>
        <w:rPr>
          <w:rFonts w:ascii="Arial" w:cs="Arial" w:eastAsia="Arial" w:hAnsi="Arial"/>
          <w:color w:val="0F172A"/>
          <w:sz w:val="22"/>
          <w:szCs w:val="22"/>
        </w:rPr>
        <w:t xml:space="preserve">Real implementation queries tenant's actual per-daypart average ticket. Lock 11.99 supersedes the JSX placeholder.</w:t>
      </w:r>
    </w:p>
    <w:p>
      <w:pPr>
        <w:pStyle w:val="ListParagraph"/>
        <w:numPr>
          <w:ilvl w:val="0"/>
          <w:numId w:val="2"/>
        </w:numPr>
        <w:spacing w:after="60" w:before="60" w:line="300"/>
      </w:pPr>
      <w:r>
        <w:rPr>
          <w:rFonts w:ascii="Arial" w:cs="Arial" w:eastAsia="Arial" w:hAnsi="Arial"/>
          <w:b/>
          <w:bCs/>
          <w:color w:val="0F172A"/>
          <w:sz w:val="22"/>
          <w:szCs w:val="22"/>
        </w:rPr>
        <w:t xml:space="preserve">Hardcoded "Office workers within 400m (MaRS, TMU)" reference. </w:t>
      </w:r>
      <w:r>
        <w:rPr>
          <w:rFonts w:ascii="Arial" w:cs="Arial" w:eastAsia="Arial" w:hAnsi="Arial"/>
          <w:color w:val="0F172A"/>
          <w:sz w:val="22"/>
          <w:szCs w:val="22"/>
        </w:rPr>
        <w:t xml:space="preserve">Made opt-in per tenant via Google Places integration with explicit consent. Locks 11.112–11.125.</w:t>
      </w:r>
    </w:p>
    <w:p>
      <w:r>
        <w:br w:type="page"/>
      </w:r>
    </w:p>
    <w:p>
      <w:pPr>
        <w:pStyle w:val="Heading1"/>
        <w:spacing w:after="160" w:before="360"/>
      </w:pPr>
      <w:r>
        <w:rPr>
          <w:rFonts w:ascii="Arial" w:cs="Arial" w:eastAsia="Arial" w:hAnsi="Arial"/>
          <w:b/>
          <w:bCs/>
          <w:color w:val="0F172A"/>
          <w:sz w:val="36"/>
          <w:szCs w:val="36"/>
        </w:rPr>
        <w:t xml:space="preserve">3. Retractions and supersessions</w:t>
      </w:r>
    </w:p>
    <w:p>
      <w:pPr>
        <w:pStyle w:val="Heading2"/>
        <w:spacing w:after="120" w:before="280"/>
      </w:pPr>
      <w:r>
        <w:rPr>
          <w:rFonts w:ascii="Arial" w:cs="Arial" w:eastAsia="Arial" w:hAnsi="Arial"/>
          <w:b/>
          <w:bCs/>
          <w:color w:val="0F172A"/>
          <w:sz w:val="28"/>
          <w:szCs w:val="28"/>
        </w:rPr>
        <w:t xml:space="preserve">3.1 Retracted locks</w:t>
      </w:r>
    </w:p>
    <w:p>
      <w:pPr>
        <w:spacing w:after="80" w:before="80" w:line="300"/>
      </w:pPr>
      <w:r>
        <w:rPr>
          <w:rFonts w:ascii="Arial" w:cs="Arial" w:eastAsia="Arial" w:hAnsi="Arial"/>
          <w:color w:val="0F172A"/>
          <w:sz w:val="22"/>
          <w:szCs w:val="22"/>
        </w:rPr>
        <w:t xml:space="preserve">Ten locks were retracted mid-workstream when the built JSX was reviewed. Retracted lock numbers are NOT reused — the next new lock continues the sequence so historical references stay unambiguous.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Lock</w:t>
            </w:r>
          </w:p>
        </w:tc>
        <w:tc>
          <w:tcPr>
            <w:tcW w:type="dxa" w:w="4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it said</w:t>
            </w:r>
          </w:p>
        </w:tc>
        <w:tc>
          <w:tcPr>
            <w:tcW w:type="dxa" w:w="4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 retracted</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Pattern C composition (hero + chips + grid)</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Built design is four-tab segmented, not single-page layered</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Hero zone specification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hero zone in built design</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Chip zone v1 chips</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chip zone in built design</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Grid zone specification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standalone grid; menu rendering is BCG quadrant chart</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Grid row expansion to recipe + ingredient depletion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Different surfacing — Menu tab has elasticity + action plan</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 selector behavior</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global time selector in built design</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11.17</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Loading state for hero + chips + grid</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Different page structure — loading happens per tab</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11.18</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Empty state at page level</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Still relevant but tab-specific, not page-level</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11.19</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Stale data indicator near time selector</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global time selector to anchor to</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11.20</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Layered hierarchy as canonical analytical composition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Wrong principle — built design uses tabbed segmentation</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11.29</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Hero metric default = gross + net as secondary</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hero zone in built design (channel cards show this differently)</w:t>
            </w:r>
          </w:p>
        </w:tc>
      </w:tr>
    </w:tbl>
    <w:p>
      <w:pPr>
        <w:pStyle w:val="Heading2"/>
        <w:spacing w:after="120" w:before="280"/>
      </w:pPr>
      <w:r>
        <w:rPr>
          <w:rFonts w:ascii="Arial" w:cs="Arial" w:eastAsia="Arial" w:hAnsi="Arial"/>
          <w:b/>
          <w:bCs/>
          <w:color w:val="0F172A"/>
          <w:sz w:val="28"/>
          <w:szCs w:val="28"/>
        </w:rPr>
        <w:t xml:space="preserve">3.2 Supersessions</w:t>
      </w:r>
    </w:p>
    <w:p>
      <w:pPr>
        <w:spacing w:after="80" w:before="80" w:line="300"/>
      </w:pPr>
      <w:r>
        <w:rPr>
          <w:rFonts w:ascii="Arial" w:cs="Arial" w:eastAsia="Arial" w:hAnsi="Arial"/>
          <w:color w:val="0F172A"/>
          <w:sz w:val="22"/>
          <w:szCs w:val="22"/>
        </w:rPr>
        <w:t xml:space="preserve">Three locks were superseded by later locks when better thinking emerged. The original lock stays in the historical record (so references like "per Lock 9.27" don't break), but the canonical answer points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Original</w:t>
            </w:r>
          </w:p>
        </w:tc>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Superseded by</w:t>
            </w:r>
          </w:p>
        </w:tc>
        <w:tc>
          <w:tcPr>
            <w:tcW w:type="dxa" w:w="60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changed</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Lock 9.27</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11.41</w:t>
            </w:r>
          </w:p>
        </w:tc>
        <w:tc>
          <w:tcPr>
            <w:tcW w:type="dxa" w:w="6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Channel enum split: in_house → dine_in + takeout</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Lock 9.63</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11.118</w:t>
            </w:r>
          </w:p>
        </w:tc>
        <w:tc>
          <w:tcPr>
            <w:tcW w:type="dxa" w:w="6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anthropic_usage table generalized to external_api_usage (covers Anthropic + Google Places + future)</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Lock 11.147</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11.163</w:t>
            </w:r>
          </w:p>
        </w:tc>
        <w:tc>
          <w:tcPr>
            <w:tcW w:type="dxa" w:w="6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Single confidence percentage replaced with tilde-prefix point estimate + sensitivity range + data quality tier</w:t>
            </w:r>
          </w:p>
        </w:tc>
      </w:tr>
    </w:tbl>
    <w:p>
      <w:pPr>
        <w:spacing w:after="80" w:before="80" w:line="300"/>
      </w:pPr>
      <w:r>
        <w:rPr>
          <w:rFonts w:ascii="Arial" w:cs="Arial" w:eastAsia="Arial" w:hAnsi="Arial"/>
          <w:color w:val="0F172A"/>
          <w:sz w:val="22"/>
          <w:szCs w:val="22"/>
        </w:rPr>
        <w:t xml:space="preserve">Supersession is the right discipline for evolving architecture. The system is supposed to be stable but not frozen — when reality demands a better answer, we lock it explicitly with an audit trail.</w:t>
      </w:r>
    </w:p>
    <w:p>
      <w:r>
        <w:br w:type="page"/>
      </w:r>
    </w:p>
    <w:p>
      <w:pPr>
        <w:pStyle w:val="Heading1"/>
        <w:spacing w:after="160" w:before="360"/>
      </w:pPr>
      <w:r>
        <w:rPr>
          <w:rFonts w:ascii="Arial" w:cs="Arial" w:eastAsia="Arial" w:hAnsi="Arial"/>
          <w:b/>
          <w:bCs/>
          <w:color w:val="0F172A"/>
          <w:sz w:val="36"/>
          <w:szCs w:val="36"/>
        </w:rPr>
        <w:t xml:space="preserve">4. Cross-cutting principles enforced</w:t>
      </w:r>
    </w:p>
    <w:p>
      <w:pPr>
        <w:spacing w:after="80" w:before="80" w:line="300"/>
      </w:pPr>
      <w:r>
        <w:rPr>
          <w:rFonts w:ascii="Arial" w:cs="Arial" w:eastAsia="Arial" w:hAnsi="Arial"/>
          <w:color w:val="0F172A"/>
          <w:sz w:val="22"/>
          <w:szCs w:val="22"/>
        </w:rPr>
        <w:t xml:space="preserve">Eight principles emerged across Workstream 11 that constrain every analytical surface in v1 and Phase 2.</w:t>
      </w:r>
    </w:p>
    <w:p>
      <w:pPr>
        <w:pStyle w:val="Heading2"/>
        <w:spacing w:after="120" w:before="280"/>
      </w:pPr>
      <w:r>
        <w:rPr>
          <w:rFonts w:ascii="Arial" w:cs="Arial" w:eastAsia="Arial" w:hAnsi="Arial"/>
          <w:b/>
          <w:bCs/>
          <w:color w:val="0F172A"/>
          <w:sz w:val="28"/>
          <w:szCs w:val="28"/>
        </w:rPr>
        <w:t xml:space="preserve">4.1 Lock 10.10 — Supplier independence (carries forward)</w:t>
      </w:r>
    </w:p>
    <w:p>
      <w:pPr>
        <w:spacing w:after="80" w:before="80" w:line="300"/>
      </w:pPr>
      <w:r>
        <w:rPr>
          <w:rFonts w:ascii="Arial" w:cs="Arial" w:eastAsia="Arial" w:hAnsi="Arial"/>
          <w:color w:val="0F172A"/>
          <w:sz w:val="22"/>
          <w:szCs w:val="22"/>
        </w:rPr>
        <w:t xml:space="preserve">ReorderOS does NOT hardcode any specific supplier. Suppliers are tenant-defined entities. The Sales page never names a supplier in templates, examples, or recommendations. The depletion loop, ordering flows, price tracking, and forecasting all work identically whether the tenant uses a national distributor, a regional wholesaler, or a single farmer they buy directly from.</w:t>
      </w:r>
    </w:p>
    <w:p>
      <w:pPr>
        <w:pStyle w:val="Heading2"/>
        <w:spacing w:after="120" w:before="280"/>
      </w:pPr>
      <w:r>
        <w:rPr>
          <w:rFonts w:ascii="Arial" w:cs="Arial" w:eastAsia="Arial" w:hAnsi="Arial"/>
          <w:b/>
          <w:bCs/>
          <w:color w:val="0F172A"/>
          <w:sz w:val="28"/>
          <w:szCs w:val="28"/>
        </w:rPr>
        <w:t xml:space="preserve">4.2 Lock 11.31 — Margin-awareness across all revenue surfaces</w:t>
      </w:r>
    </w:p>
    <w:p>
      <w:pPr>
        <w:spacing w:after="80" w:before="80" w:line="300"/>
      </w:pPr>
      <w:r>
        <w:rPr>
          <w:rFonts w:ascii="Arial" w:cs="Arial" w:eastAsia="Arial" w:hAnsi="Arial"/>
          <w:color w:val="0F172A"/>
          <w:sz w:val="22"/>
          <w:szCs w:val="22"/>
        </w:rPr>
        <w:t xml:space="preserve">Every metric surface in the app that shows revenue surfaces both gross and net where they meaningfully differ. Channel cards show gross + fee pill (when net ≠ gross). Top 5 sorts on gross by default. BCG quadrant uses contribution margin (net per unit). Workstream 12 Dashboard, Workstream 15 Variance Report, and admin portal all inherit this principle.</w:t>
      </w:r>
    </w:p>
    <w:p>
      <w:pPr>
        <w:pStyle w:val="Heading2"/>
        <w:spacing w:after="120" w:before="280"/>
      </w:pPr>
      <w:r>
        <w:rPr>
          <w:rFonts w:ascii="Arial" w:cs="Arial" w:eastAsia="Arial" w:hAnsi="Arial"/>
          <w:b/>
          <w:bCs/>
          <w:color w:val="0F172A"/>
          <w:sz w:val="28"/>
          <w:szCs w:val="28"/>
        </w:rPr>
        <w:t xml:space="preserve">4.3 Locks 11.57 and 11.91 — Anthropic produces structured outputs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Anthropic API in v1 produces structured outputs validated against Pydantic schemas. </w:t>
            </w:r>
            <w:r>
              <w:rPr>
                <w:rFonts w:ascii="Arial" w:cs="Arial" w:eastAsia="Arial" w:hAnsi="Arial"/>
                <w:color w:val="0F172A"/>
                <w:sz w:val="22"/>
                <w:szCs w:val="22"/>
              </w:rPr>
              <w:t xml:space="preserve">It does NOT generate opinion-bearing prose, recommendations, or narrative explanations. Owner-facing opinions are computed deterministically from data; narratives are templated strings filled with metrics.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Why: </w:t>
            </w:r>
            <w:r>
              <w:rPr>
                <w:rFonts w:ascii="Arial" w:cs="Arial" w:eastAsia="Arial" w:hAnsi="Arial"/>
                <w:color w:val="0F172A"/>
                <w:sz w:val="22"/>
                <w:szCs w:val="22"/>
              </w:rPr>
              <w:t xml:space="preserve">Owner trust depends on the system being accurate about its claims. "Shawarma Poutine is rising because of Easter weekend" is exactly the kind of LLM inference that can be wrong. "412 sold · +48% WoW" is observable from data and unambiguous. The architecture commits to the latter form for every opinionated surface.</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Where Anthropic IS used: </w:t>
            </w:r>
            <w:r>
              <w:rPr>
                <w:rFonts w:ascii="Arial" w:cs="Arial" w:eastAsia="Arial" w:hAnsi="Arial"/>
                <w:color w:val="0F172A"/>
                <w:sz w:val="22"/>
                <w:szCs w:val="22"/>
              </w:rPr>
              <w:t xml:space="preserve">Recipe drafting from menu items (Workstream 9), photo extraction from receipts (Lock 6.11), ingredient normalization (v5 §13), bulk price-sheet upload (Lock 10.15). All four surfaces have structured outputs validated against schemas.</w:t>
            </w:r>
          </w:p>
        </w:tc>
      </w:tr>
    </w:tbl>
    <w:p>
      <w:pPr>
        <w:pStyle w:val="Heading2"/>
        <w:spacing w:after="120" w:before="280"/>
      </w:pPr>
      <w:r>
        <w:rPr>
          <w:rFonts w:ascii="Arial" w:cs="Arial" w:eastAsia="Arial" w:hAnsi="Arial"/>
          <w:b/>
          <w:bCs/>
          <w:color w:val="0F172A"/>
          <w:sz w:val="28"/>
          <w:szCs w:val="28"/>
        </w:rPr>
        <w:t xml:space="preserve">4.4 Lock 11.69 — Domain conventions documented in UI</w:t>
      </w:r>
    </w:p>
    <w:p>
      <w:pPr>
        <w:spacing w:after="80" w:before="80" w:line="300"/>
      </w:pPr>
      <w:r>
        <w:rPr>
          <w:rFonts w:ascii="Arial" w:cs="Arial" w:eastAsia="Arial" w:hAnsi="Arial"/>
          <w:color w:val="0F172A"/>
          <w:sz w:val="22"/>
          <w:szCs w:val="22"/>
        </w:rPr>
        <w:t xml:space="preserve">When the architecture uses a domain convention (like Kasavana-Smith's 70% popularity threshold), it surfaces the convention in the UI with brief explanation. Magic numbers without explanation erode owner trust; conventions explained build it.</w:t>
      </w:r>
    </w:p>
    <w:p>
      <w:pPr>
        <w:pStyle w:val="Heading2"/>
        <w:spacing w:after="120" w:before="280"/>
      </w:pPr>
      <w:r>
        <w:rPr>
          <w:rFonts w:ascii="Arial" w:cs="Arial" w:eastAsia="Arial" w:hAnsi="Arial"/>
          <w:b/>
          <w:bCs/>
          <w:color w:val="0F172A"/>
          <w:sz w:val="28"/>
          <w:szCs w:val="28"/>
        </w:rPr>
        <w:t xml:space="preserve">4.5 Lock 11.125 — Opt-in for external data sources</w:t>
      </w:r>
    </w:p>
    <w:p>
      <w:pPr>
        <w:spacing w:after="80" w:before="80" w:line="300"/>
      </w:pPr>
      <w:r>
        <w:rPr>
          <w:rFonts w:ascii="Arial" w:cs="Arial" w:eastAsia="Arial" w:hAnsi="Arial"/>
          <w:color w:val="0F172A"/>
          <w:sz w:val="22"/>
          <w:szCs w:val="22"/>
        </w:rPr>
        <w:t xml:space="preserve">Optional features that introduce external dependencies (like Google Places for location enrichment) require explicit per-tenant consent + clean disable handling. Default OFF. PIPEDA/Law 25 compliance posture favors explicit consent for any data-collection feature beyond core service. Consent enables the feature; revocation hard-deletes accumulated data.</w:t>
      </w:r>
    </w:p>
    <w:p>
      <w:pPr>
        <w:pStyle w:val="Heading2"/>
        <w:spacing w:after="120" w:before="280"/>
      </w:pPr>
      <w:r>
        <w:rPr>
          <w:rFonts w:ascii="Arial" w:cs="Arial" w:eastAsia="Arial" w:hAnsi="Arial"/>
          <w:b/>
          <w:bCs/>
          <w:color w:val="0F172A"/>
          <w:sz w:val="28"/>
          <w:szCs w:val="28"/>
        </w:rPr>
        <w:t xml:space="preserve">4.6 Lock 11.137 — Transparent collecting-data states</w:t>
      </w:r>
    </w:p>
    <w:p>
      <w:pPr>
        <w:spacing w:after="80" w:before="80" w:line="300"/>
      </w:pPr>
      <w:r>
        <w:rPr>
          <w:rFonts w:ascii="Arial" w:cs="Arial" w:eastAsia="Arial" w:hAnsi="Arial"/>
          <w:color w:val="0F172A"/>
          <w:sz w:val="22"/>
          <w:szCs w:val="22"/>
        </w:rPr>
        <w:t xml:space="preserve">When a feature requires data the system is still accumulating, show a transparent collecting-data state rather than hiding the affordance entirely. "Results will appear after 3 more snow days" is informative; missing UI is confusing. Same posture across heatmap fallback, weather correlations, opportunity engine, plan outcome tracking.</w:t>
      </w:r>
    </w:p>
    <w:p>
      <w:pPr>
        <w:pStyle w:val="Heading2"/>
        <w:spacing w:after="120" w:before="280"/>
      </w:pPr>
      <w:r>
        <w:rPr>
          <w:rFonts w:ascii="Arial" w:cs="Arial" w:eastAsia="Arial" w:hAnsi="Arial"/>
          <w:b/>
          <w:bCs/>
          <w:color w:val="0F172A"/>
          <w:sz w:val="28"/>
          <w:szCs w:val="28"/>
        </w:rPr>
        <w:t xml:space="preserve">4.7 Lock 11.138 — Predictive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Every opinionated projection on the Moves tab is rendered with explicit conditional language framing it as a system prediction, not a stated fact. </w:t>
            </w:r>
            <w:r>
              <w:rPr>
                <w:rFonts w:ascii="Arial" w:cs="Arial" w:eastAsia="Arial" w:hAnsi="Arial"/>
                <w:color w:val="0F172A"/>
                <w:sz w:val="22"/>
                <w:szCs w:val="22"/>
              </w:rPr>
              <w:t xml:space="preserve">Templates use "in my predictions" / "I project" / "based on your data" — never bare claims like "this will earn +$X." Tilde-prefix on projected numbers (~$17.6k/yr) visually signals estimate vs. observation. "Show math" button bridges from projection to the underlying data + assumptions + formula chain.</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Why: </w:t>
            </w:r>
            <w:r>
              <w:rPr>
                <w:rFonts w:ascii="Arial" w:cs="Arial" w:eastAsia="Arial" w:hAnsi="Arial"/>
                <w:color w:val="0F172A"/>
                <w:sz w:val="22"/>
                <w:szCs w:val="22"/>
              </w:rPr>
              <w:t xml:space="preserve">Restaurant operations have real variance. A confident-sounding +$17.6k/yr reads as a guarantee; a hedged "in my predictions, if you push poutine on Thursdays, ~+$17.6k/yr" reads as informed analysis. Owner trust is built on the system being honest about uncertainty.</w:t>
            </w:r>
          </w:p>
        </w:tc>
      </w:tr>
    </w:tbl>
    <w:p>
      <w:pPr>
        <w:pStyle w:val="Heading2"/>
        <w:spacing w:after="120" w:before="280"/>
      </w:pPr>
      <w:r>
        <w:rPr>
          <w:rFonts w:ascii="Arial" w:cs="Arial" w:eastAsia="Arial" w:hAnsi="Arial"/>
          <w:b/>
          <w:bCs/>
          <w:color w:val="0F172A"/>
          <w:sz w:val="28"/>
          <w:szCs w:val="28"/>
        </w:rPr>
        <w:t xml:space="preserve">4.8 Lock 11.168 — Empirical accuracy proof over time</w:t>
      </w:r>
    </w:p>
    <w:p>
      <w:pPr>
        <w:spacing w:after="80" w:before="80" w:line="300"/>
      </w:pPr>
      <w:r>
        <w:rPr>
          <w:rFonts w:ascii="Arial" w:cs="Arial" w:eastAsia="Arial" w:hAnsi="Arial"/>
          <w:color w:val="0F172A"/>
          <w:sz w:val="22"/>
          <w:szCs w:val="22"/>
        </w:rPr>
        <w:t xml:space="preserve">ReorderOS does not claim accuracy it cannot prove. Statistical confidence intervals on inputs are propagated honestly. Empirical accuracy comes from observed plan outcomes vs projections over time, not from heuristic confidence percentages computed at recommendation time. The system's claim to accuracy is provable — and visible — to the owner once 5+ completed plans exist.</w:t>
      </w:r>
    </w:p>
    <w:p>
      <w:r>
        <w:br w:type="page"/>
      </w:r>
    </w:p>
    <w:p>
      <w:pPr>
        <w:pStyle w:val="Heading1"/>
        <w:spacing w:after="160" w:before="360"/>
      </w:pPr>
      <w:r>
        <w:rPr>
          <w:rFonts w:ascii="Arial" w:cs="Arial" w:eastAsia="Arial" w:hAnsi="Arial"/>
          <w:b/>
          <w:bCs/>
          <w:color w:val="0F172A"/>
          <w:sz w:val="36"/>
          <w:szCs w:val="36"/>
        </w:rPr>
        <w:t xml:space="preserve">5. Sub-round 11a — Overview tab</w:t>
      </w:r>
    </w:p>
    <w:p>
      <w:pPr>
        <w:spacing w:after="80" w:before="80" w:line="300"/>
      </w:pPr>
      <w:r>
        <w:rPr>
          <w:rFonts w:ascii="Arial" w:cs="Arial" w:eastAsia="Arial" w:hAnsi="Arial"/>
          <w:color w:val="0F172A"/>
          <w:sz w:val="22"/>
          <w:szCs w:val="22"/>
        </w:rPr>
        <w:t xml:space="preserve">The Overview tab is the first of four tabs. It renders five distinct components: category mix donut, channel cards, Top 5 by revenue, RISING/KILL callouts, and the underlying BCG quadrant computation.</w:t>
      </w:r>
    </w:p>
    <w:p>
      <w:pPr>
        <w:pStyle w:val="Heading2"/>
        <w:spacing w:after="120" w:before="280"/>
      </w:pPr>
      <w:r>
        <w:rPr>
          <w:rFonts w:ascii="Arial" w:cs="Arial" w:eastAsia="Arial" w:hAnsi="Arial"/>
          <w:b/>
          <w:bCs/>
          <w:color w:val="0F172A"/>
          <w:sz w:val="28"/>
          <w:szCs w:val="28"/>
        </w:rPr>
        <w:t xml:space="preserve">5.1 Time aggregation backend (preserved from initial round)</w:t>
      </w:r>
    </w:p>
    <w:p>
      <w:pPr>
        <w:spacing w:after="80" w:before="80" w:line="300"/>
      </w:pPr>
      <w:r>
        <w:rPr>
          <w:rFonts w:ascii="Arial" w:cs="Arial" w:eastAsia="Arial" w:hAnsi="Arial"/>
          <w:color w:val="0F172A"/>
          <w:sz w:val="22"/>
          <w:szCs w:val="22"/>
        </w:rPr>
        <w:t xml:space="preserve">Locks 11.1–11.10 preserved from the initial Round 11a Q1 (before retraction). Pre-aggregated tables (sales_aggregates_daily/weekly/monthly/yearly) are populated by the nightly forecast batch (Lock 6.45) and read in O(1) for tab loads. Custom range queries hit the sales table directly. Comparison anchors per window: Today vs Yesterday, Week vs Last Week, Month vs Last Month, Year vs Last Year.</w:t>
      </w:r>
    </w:p>
    <w:p>
      <w:pPr>
        <w:spacing w:after="80" w:before="80" w:line="300"/>
      </w:pPr>
      <w:r>
        <w:rPr>
          <w:rFonts w:ascii="Arial" w:cs="Arial" w:eastAsia="Arial" w:hAnsi="Arial"/>
          <w:color w:val="0F172A"/>
          <w:sz w:val="22"/>
          <w:szCs w:val="22"/>
        </w:rPr>
        <w:t xml:space="preserve">Week boundary is configurable per tenant (default Monday-Sunday). Timezone handling is tenant-local per v5 §30.1. Pre-aggregation rebuild on data correction; "today" boundary uses live sales for current-day cells.</w:t>
      </w:r>
    </w:p>
    <w:p>
      <w:pPr>
        <w:pStyle w:val="Heading2"/>
        <w:spacing w:after="120" w:before="280"/>
      </w:pPr>
      <w:r>
        <w:rPr>
          <w:rFonts w:ascii="Arial" w:cs="Arial" w:eastAsia="Arial" w:hAnsi="Arial"/>
          <w:b/>
          <w:bCs/>
          <w:color w:val="0F172A"/>
          <w:sz w:val="28"/>
          <w:szCs w:val="28"/>
        </w:rPr>
        <w:t xml:space="preserve">5.2 Menu categories — per-tenant taxonomy</w:t>
      </w:r>
    </w:p>
    <w:p>
      <w:pPr>
        <w:spacing w:after="80" w:before="80" w:line="300"/>
      </w:pPr>
      <w:r>
        <w:rPr>
          <w:rFonts w:ascii="Arial" w:cs="Arial" w:eastAsia="Arial" w:hAnsi="Arial"/>
          <w:color w:val="0F172A"/>
          <w:sz w:val="22"/>
          <w:szCs w:val="22"/>
        </w:rPr>
        <w:t xml:space="preserve">Locks 11.32–11.40 establish menu_categories as a per-tenant table. Owner defines categories during onboarding; can add/edit/reorder/recolor 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Column</w:t>
            </w:r>
          </w:p>
        </w:tc>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Type</w:t>
            </w:r>
          </w:p>
        </w:tc>
        <w:tc>
          <w:tcPr>
            <w:tcW w:type="dxa" w:w="4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category_id</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UUIDv7 PK</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Unique identifier</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tenant_id</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 T1 tenant scope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name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TEXT</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Display name (unique per tenant)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display_order</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INTEGER</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Render order on Overview donut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color_hex</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TEXT</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Visual color, e.g., "#30D158"</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created_at</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Audit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deleted_at</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Soft-delete per Lock 8.65</w:t>
            </w:r>
          </w:p>
        </w:tc>
      </w:tr>
    </w:tbl>
    <w:p>
      <w:pPr>
        <w:spacing w:after="80" w:before="80" w:line="300"/>
      </w:pPr>
      <w:r>
        <w:rPr>
          <w:rFonts w:ascii="Arial" w:cs="Arial" w:eastAsia="Arial" w:hAnsi="Arial"/>
          <w:color w:val="0F172A"/>
          <w:sz w:val="22"/>
          <w:szCs w:val="22"/>
        </w:rPr>
        <w:t xml:space="preserve">menu_items extended with category_id (UUID, nullable). Nullable because POS sync may produce items before owner has defined categories — uncategorized items render in an "Uncategorized" pseudo-bucket. Default palette of 7 colors; owner picks at category creation. Onboarding step prompts owner after POS connection identifies items in use.</w:t>
      </w:r>
    </w:p>
    <w:p>
      <w:pPr>
        <w:pStyle w:val="Heading2"/>
        <w:spacing w:after="120" w:before="280"/>
      </w:pPr>
      <w:r>
        <w:rPr>
          <w:rFonts w:ascii="Arial" w:cs="Arial" w:eastAsia="Arial" w:hAnsi="Arial"/>
          <w:b/>
          <w:bCs/>
          <w:color w:val="0F172A"/>
          <w:sz w:val="28"/>
          <w:szCs w:val="28"/>
        </w:rPr>
        <w:t xml:space="preserve">5.3 Channel cards — Lock 9.27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11.41 supersedes Lock 9.27. </w:t>
            </w:r>
            <w:r>
              <w:rPr>
                <w:rFonts w:ascii="Arial" w:cs="Arial" w:eastAsia="Arial" w:hAnsi="Arial"/>
                <w:color w:val="0F172A"/>
                <w:sz w:val="22"/>
                <w:szCs w:val="22"/>
              </w:rPr>
              <w:t xml:space="preserve">Canonical channel enum is now: dine_in, takeout, doordash, ubereats, skip_the_dishes, other. Lock 9.27's in_house is split into dine_in and takeout because they're operationally distinct (different cost structures, different staffing patterns, different time profiles).</w:t>
            </w:r>
          </w:p>
        </w:tc>
      </w:tr>
    </w:tbl>
    <w:p>
      <w:pPr>
        <w:spacing w:after="80" w:before="80" w:line="300"/>
      </w:pPr>
      <w:r>
        <w:rPr>
          <w:rFonts w:ascii="Arial" w:cs="Arial" w:eastAsia="Arial" w:hAnsi="Arial"/>
          <w:color w:val="0F172A"/>
          <w:sz w:val="22"/>
          <w:szCs w:val="22"/>
        </w:rPr>
        <w:t xml:space="preserve">POS adapters map vendor channels to the finer enum. Square: PICKUP / TO_GO / FOR_HERE / DINE_IN / SHIPPING → dine_in or takeout based on order_type semantics; DELIVERY → vendor-specific subchannel. Clover: similar mapping using their order_type field. Each adapter ships a mapping table in code, fixture-tested per Lock 9.25. Ambiguous types default to other + P2 alert per Lock 9.27's pattern.</w:t>
      </w:r>
    </w:p>
    <w:p>
      <w:pPr>
        <w:pStyle w:val="Heading3"/>
        <w:spacing w:after="100" w:before="200"/>
      </w:pPr>
      <w:r>
        <w:rPr>
          <w:rFonts w:ascii="Arial" w:cs="Arial" w:eastAsia="Arial" w:hAnsi="Arial"/>
          <w:b/>
          <w:bCs/>
          <w:color w:val="0F172A"/>
          <w:sz w:val="24"/>
          <w:szCs w:val="24"/>
        </w:rPr>
        <w:t xml:space="preserve">5.3.1 Default tenant_channel_settings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Channel</w:t>
            </w:r>
          </w:p>
        </w:tc>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Default commission</w:t>
            </w:r>
          </w:p>
        </w:tc>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Default processing fee/order</w:t>
            </w:r>
          </w:p>
        </w:tc>
        <w:tc>
          <w:tcPr>
            <w:tcW w:type="dxa" w:w="2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Phase 2 columns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dine_in</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 cents (typical card processing)</w:t>
            </w:r>
          </w:p>
        </w:tc>
        <w:tc>
          <w:tcPr>
            <w:tcW w:type="dxa" w:w="2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takeout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 cents</w:t>
            </w:r>
          </w:p>
        </w:tc>
        <w:tc>
          <w:tcPr>
            <w:tcW w:type="dxa" w:w="2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packaging_cost_cents (nullable)</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doordash</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25%</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w:t>
            </w:r>
          </w:p>
        </w:tc>
        <w:tc>
          <w:tcPr>
            <w:tcW w:type="dxa" w:w="2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ubereats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25%</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w:t>
            </w:r>
          </w:p>
        </w:tc>
        <w:tc>
          <w:tcPr>
            <w:tcW w:type="dxa" w:w="2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skip_the_dishes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25%</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w:t>
            </w:r>
          </w:p>
        </w:tc>
        <w:tc>
          <w:tcPr>
            <w:tcW w:type="dxa" w:w="2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other</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 (configurable)</w:t>
            </w:r>
          </w:p>
        </w:tc>
        <w:tc>
          <w:tcPr>
            <w:tcW w:type="dxa" w:w="2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r>
    </w:tbl>
    <w:p>
      <w:pPr>
        <w:spacing w:after="80" w:before="80" w:line="300"/>
      </w:pPr>
      <w:r>
        <w:rPr>
          <w:rFonts w:ascii="Arial" w:cs="Arial" w:eastAsia="Arial" w:hAnsi="Arial"/>
          <w:color w:val="0F172A"/>
          <w:sz w:val="22"/>
          <w:szCs w:val="22"/>
        </w:rPr>
        <w:t xml:space="preserve">Net revenue computation per Lock 11.25:</w:t>
      </w:r>
    </w:p>
    <w:p>
      <w:pPr>
        <w:shd w:fill="F8FAFC" w:val="clear"/>
        <w:spacing w:after="80" w:before="80" w:line="280"/>
      </w:pPr>
      <w:r>
        <w:rPr>
          <w:rFonts w:ascii="Courier New" w:cs="Courier New" w:eastAsia="Courier New" w:hAnsi="Courier New"/>
          <w:color w:val="0F172A"/>
          <w:sz w:val="20"/>
          <w:szCs w:val="20"/>
        </w:rPr>
        <w:t xml:space="preserve">net_revenue_cents = total_cents × (1 - commission_rate_pct / 100) - processing_fee_cents_per_order</w:t>
      </w:r>
    </w:p>
    <w:p>
      <w:pPr>
        <w:spacing w:after="80" w:before="80" w:line="300"/>
      </w:pPr>
      <w:r>
        <w:rPr>
          <w:rFonts w:ascii="Arial" w:cs="Arial" w:eastAsia="Arial" w:hAnsi="Arial"/>
          <w:color w:val="0F172A"/>
          <w:sz w:val="22"/>
          <w:szCs w:val="22"/>
        </w:rPr>
        <w:t xml:space="preserve">Computed at query time (not stored on sales table) — keeps rate changes applying retroactively per Lock 11.26. Owner who renegotiates a better commission rate sees their historicals reflect the new rate.</w:t>
      </w:r>
    </w:p>
    <w:p>
      <w:pPr>
        <w:pStyle w:val="Heading2"/>
        <w:spacing w:after="120" w:before="280"/>
      </w:pPr>
      <w:r>
        <w:rPr>
          <w:rFonts w:ascii="Arial" w:cs="Arial" w:eastAsia="Arial" w:hAnsi="Arial"/>
          <w:b/>
          <w:bCs/>
          <w:color w:val="0F172A"/>
          <w:sz w:val="28"/>
          <w:szCs w:val="28"/>
        </w:rPr>
        <w:t xml:space="preserve">5.4 Top 5 by revenue</w:t>
      </w:r>
    </w:p>
    <w:p>
      <w:pPr>
        <w:spacing w:after="80" w:before="80" w:line="300"/>
      </w:pPr>
      <w:r>
        <w:rPr>
          <w:rFonts w:ascii="Arial" w:cs="Arial" w:eastAsia="Arial" w:hAnsi="Arial"/>
          <w:color w:val="0F172A"/>
          <w:sz w:val="22"/>
          <w:szCs w:val="22"/>
        </w:rPr>
        <w:t xml:space="preserve">Locks 11.58–11.60. Sorted by revenue DESC. Tiebreak: alphabetical by menu_item.name (deterministic, neutral). "See all N →" action opens the Menu tab where the BCG quadrant shows all items. N is dynamic (real menu count, not hardcoded). Action button hides when tenant has ≤5 items.</w:t>
      </w:r>
    </w:p>
    <w:p>
      <w:pPr>
        <w:pStyle w:val="Heading2"/>
        <w:spacing w:after="120" w:before="280"/>
      </w:pPr>
      <w:r>
        <w:rPr>
          <w:rFonts w:ascii="Arial" w:cs="Arial" w:eastAsia="Arial" w:hAnsi="Arial"/>
          <w:b/>
          <w:bCs/>
          <w:color w:val="0F172A"/>
          <w:sz w:val="28"/>
          <w:szCs w:val="28"/>
        </w:rPr>
        <w:t xml:space="preserve">5.5 RISING / KILL callouts — Pattern D</w:t>
      </w:r>
    </w:p>
    <w:p>
      <w:pPr>
        <w:spacing w:after="80" w:before="80" w:line="300"/>
      </w:pPr>
      <w:r>
        <w:rPr>
          <w:rFonts w:ascii="Arial" w:cs="Arial" w:eastAsia="Arial" w:hAnsi="Arial"/>
          <w:color w:val="0F172A"/>
          <w:sz w:val="22"/>
          <w:szCs w:val="22"/>
        </w:rPr>
        <w:t xml:space="preserve">Locks 11.48–11.57. Selection logic uses the BCG quadrant computation (deterministic from data). Displayed narrative is hardcoded templates filled with metrics. No Anthropic involvement.</w:t>
      </w:r>
    </w:p>
    <w:p>
      <w:pPr>
        <w:pStyle w:val="Heading3"/>
        <w:spacing w:after="100" w:before="200"/>
      </w:pPr>
      <w:r>
        <w:rPr>
          <w:rFonts w:ascii="Arial" w:cs="Arial" w:eastAsia="Arial" w:hAnsi="Arial"/>
          <w:b/>
          <w:bCs/>
          <w:color w:val="0F172A"/>
          <w:sz w:val="24"/>
          <w:szCs w:val="24"/>
        </w:rPr>
        <w:t xml:space="preserve">5.5.1 RISING selection</w:t>
      </w:r>
    </w:p>
    <w:p>
      <w:pPr>
        <w:spacing w:after="80" w:before="80" w:line="300"/>
      </w:pPr>
      <w:r>
        <w:rPr>
          <w:rFonts w:ascii="Arial" w:cs="Arial" w:eastAsia="Arial" w:hAnsi="Arial"/>
          <w:color w:val="0F172A"/>
          <w:sz w:val="22"/>
          <w:szCs w:val="22"/>
        </w:rPr>
        <w:t xml:space="preserve">From menu items currently classified as Stars (popularity ≥ 0.70 AND margin ≥ menu average), select the one with the highest week-over-week revenue percentage gain. Tiebreak: highest absolute WoW dollar delta.</w:t>
      </w:r>
    </w:p>
    <w:p>
      <w:pPr>
        <w:pStyle w:val="Heading3"/>
        <w:spacing w:after="100" w:before="200"/>
      </w:pPr>
      <w:r>
        <w:rPr>
          <w:rFonts w:ascii="Arial" w:cs="Arial" w:eastAsia="Arial" w:hAnsi="Arial"/>
          <w:b/>
          <w:bCs/>
          <w:color w:val="0F172A"/>
          <w:sz w:val="24"/>
          <w:szCs w:val="24"/>
        </w:rPr>
        <w:t xml:space="preserve">5.5.2 KILL selection</w:t>
      </w:r>
    </w:p>
    <w:p>
      <w:pPr>
        <w:spacing w:after="80" w:before="80" w:line="300"/>
      </w:pPr>
      <w:r>
        <w:rPr>
          <w:rFonts w:ascii="Arial" w:cs="Arial" w:eastAsia="Arial" w:hAnsi="Arial"/>
          <w:color w:val="0F172A"/>
          <w:sz w:val="22"/>
          <w:szCs w:val="22"/>
        </w:rPr>
        <w:t xml:space="preserve">From menu items currently classified as Dogs (popularity &lt; 0.70 AND margin &lt; menu average), select the one with the worst trajectory — defined as lowest combined score of (revenue rank percentile + margin rank percentile + WoW change percentile). Tiebreak: longest time on menu.</w:t>
      </w:r>
    </w:p>
    <w:p>
      <w:pPr>
        <w:spacing w:after="80" w:before="80" w:line="300"/>
      </w:pPr>
      <w:r>
        <w:rPr>
          <w:rFonts w:ascii="Arial" w:cs="Arial" w:eastAsia="Arial" w:hAnsi="Arial"/>
          <w:color w:val="0F172A"/>
          <w:sz w:val="22"/>
          <w:szCs w:val="22"/>
        </w:rPr>
        <w:t xml:space="preserve">Minimum tenure guard for KILL: any item flagged must have been on the menu for ≥30 days. New items get time to find their audience. No equivalent guard on RISING (a new hit deserves recognition immediately).</w:t>
      </w:r>
    </w:p>
    <w:p>
      <w:pPr>
        <w:pStyle w:val="Heading3"/>
        <w:spacing w:after="100" w:before="200"/>
      </w:pPr>
      <w:r>
        <w:rPr>
          <w:rFonts w:ascii="Arial" w:cs="Arial" w:eastAsia="Arial" w:hAnsi="Arial"/>
          <w:b/>
          <w:bCs/>
          <w:color w:val="0F172A"/>
          <w:sz w:val="24"/>
          <w:szCs w:val="24"/>
        </w:rPr>
        <w:t xml:space="preserve">5.5.3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Slot</w:t>
            </w:r>
          </w:p>
        </w:tc>
        <w:tc>
          <w:tcPr>
            <w:tcW w:type="dxa" w:w="39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RISING template</w:t>
            </w:r>
          </w:p>
        </w:tc>
        <w:tc>
          <w:tcPr>
            <w:tcW w:type="dxa" w:w="39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KILL template</w:t>
            </w:r>
          </w:p>
        </w:tc>
      </w:tr>
      <w:tr>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Headline</w:t>
            </w:r>
          </w:p>
        </w:tc>
        <w:tc>
          <w:tcPr>
            <w:tcW w:type="dxa" w:w="3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{menu_item.name}</w:t>
            </w:r>
          </w:p>
        </w:tc>
        <w:tc>
          <w:tcPr>
            <w:tcW w:type="dxa" w:w="3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{menu_item.name}</w:t>
            </w:r>
          </w:p>
        </w:tc>
      </w:tr>
      <w:tr>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Subline</w:t>
            </w:r>
          </w:p>
        </w:tc>
        <w:tc>
          <w:tcPr>
            <w:tcW w:type="dxa" w:w="3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{units_sold} sold · {wow_pct_signed}% WoW</w:t>
            </w:r>
          </w:p>
        </w:tc>
        <w:tc>
          <w:tcPr>
            <w:tcW w:type="dxa" w:w="3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{units_sold} sold · {margin_pct}% margin</w:t>
            </w:r>
          </w:p>
        </w:tc>
      </w:tr>
      <w:tr>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Stat</w:t>
            </w:r>
          </w:p>
        </w:tc>
        <w:tc>
          <w:tcPr>
            <w:tcW w:type="dxa" w:w="3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{revenue} value with {wow_dollar_delta_signed} delta in green</w:t>
            </w:r>
          </w:p>
        </w:tc>
        <w:tc>
          <w:tcPr>
            <w:tcW w:type="dxa" w:w="3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{revenue} value with {wow_dollar_delta_signed} delta in red</w:t>
            </w:r>
          </w:p>
        </w:tc>
      </w:tr>
    </w:tbl>
    <w:p>
      <w:pPr>
        <w:spacing w:after="80" w:before="80" w:line="300"/>
      </w:pPr>
      <w:r>
        <w:rPr>
          <w:rFonts w:ascii="Arial" w:cs="Arial" w:eastAsia="Arial" w:hAnsi="Arial"/>
          <w:color w:val="0F172A"/>
          <w:sz w:val="22"/>
          <w:szCs w:val="22"/>
        </w:rPr>
        <w:t xml:space="preserve">Number formatting: locale-aware currency (USD/CAD per Lock 8.34's region_code), abbreviation for &gt;$999 ($2,100 → "$2.1k"), whole-number percentages with sign for deltas, never negative-zero. Snapshot tests in CI per Lock 9.65 pattern.</w:t>
      </w:r>
    </w:p>
    <w:p>
      <w:pPr>
        <w:pStyle w:val="Heading2"/>
        <w:spacing w:after="120" w:before="280"/>
      </w:pPr>
      <w:r>
        <w:rPr>
          <w:rFonts w:ascii="Arial" w:cs="Arial" w:eastAsia="Arial" w:hAnsi="Arial"/>
          <w:b/>
          <w:bCs/>
          <w:color w:val="0F172A"/>
          <w:sz w:val="28"/>
          <w:szCs w:val="28"/>
        </w:rPr>
        <w:t xml:space="preserve">5.6 BCG menu engineering — Kasavana-Smith Method 3</w:t>
      </w:r>
    </w:p>
    <w:p>
      <w:pPr>
        <w:spacing w:after="80" w:before="80" w:line="300"/>
      </w:pPr>
      <w:r>
        <w:rPr>
          <w:rFonts w:ascii="Arial" w:cs="Arial" w:eastAsia="Arial" w:hAnsi="Arial"/>
          <w:color w:val="0F172A"/>
          <w:sz w:val="22"/>
          <w:szCs w:val="22"/>
        </w:rPr>
        <w:t xml:space="preserve">The mathematical foundation underlying both the Overview RISING/KILL callouts and the Menu tab BCG quadrant chart. Locks 11.61–11.69.</w:t>
      </w:r>
    </w:p>
    <w:p>
      <w:pPr>
        <w:pStyle w:val="Heading3"/>
        <w:spacing w:after="100" w:before="200"/>
      </w:pPr>
      <w:r>
        <w:rPr>
          <w:rFonts w:ascii="Arial" w:cs="Arial" w:eastAsia="Arial" w:hAnsi="Arial"/>
          <w:b/>
          <w:bCs/>
          <w:color w:val="0F172A"/>
          <w:sz w:val="24"/>
          <w:szCs w:val="24"/>
        </w:rPr>
        <w:t xml:space="preserve">5.6.1 Why Kasavana-Smith Method 3</w:t>
      </w:r>
    </w:p>
    <w:p>
      <w:pPr>
        <w:spacing w:after="80" w:before="80" w:line="300"/>
      </w:pPr>
      <w:r>
        <w:rPr>
          <w:rFonts w:ascii="Arial" w:cs="Arial" w:eastAsia="Arial" w:hAnsi="Arial"/>
          <w:color w:val="0F172A"/>
          <w:sz w:val="22"/>
          <w:szCs w:val="22"/>
        </w:rPr>
        <w:t xml:space="preserve">BCG menu engineering originated as a 1982 paper by Michael Kasavana and Donald Smith applying the Boston Consulting Group's matrix to restaurant menu analysis. It's been the dominant approach in restaurant operations literature for forty years. The architecture uses Method 3 specifically because it's domain-canonical (industry vocabulary), self-adjusting per tenant (uses each tenant's own data for thresholds), and explainable (every classification traces back to a documented formula).</w:t>
      </w:r>
    </w:p>
    <w:p>
      <w:pPr>
        <w:pStyle w:val="Heading3"/>
        <w:spacing w:after="100" w:before="200"/>
      </w:pPr>
      <w:r>
        <w:rPr>
          <w:rFonts w:ascii="Arial" w:cs="Arial" w:eastAsia="Arial" w:hAnsi="Arial"/>
          <w:b/>
          <w:bCs/>
          <w:color w:val="0F172A"/>
          <w:sz w:val="24"/>
          <w:szCs w:val="24"/>
        </w:rPr>
        <w:t xml:space="preserve">5.6.2 Popularity index</w:t>
      </w:r>
    </w:p>
    <w:p>
      <w:pPr>
        <w:shd w:fill="F8FAFC" w:val="clear"/>
        <w:spacing w:after="80" w:before="80" w:line="280"/>
      </w:pPr>
      <w:r>
        <w:rPr>
          <w:rFonts w:ascii="Courier New" w:cs="Courier New" w:eastAsia="Courier New" w:hAnsi="Courier New"/>
          <w:color w:val="0F172A"/>
          <w:sz w:val="20"/>
          <w:szCs w:val="20"/>
        </w:rPr>
        <w:t xml:space="preserve">popularity_index = (item_units_sold / total_menu_units_sold) / (1 / number_of_active_menu_items)</w:t>
      </w:r>
    </w:p>
    <w:p>
      <w:pPr>
        <w:spacing w:after="80" w:before="80" w:line="300"/>
      </w:pPr>
      <w:r>
        <w:rPr>
          <w:rFonts w:ascii="Arial" w:cs="Arial" w:eastAsia="Arial" w:hAnsi="Arial"/>
          <w:color w:val="0F172A"/>
          <w:sz w:val="22"/>
          <w:szCs w:val="22"/>
        </w:rPr>
        <w:t xml:space="preserve">The denominator is the share each item would receive under uniform distribution. The popularity_index measures how each item performs relative to that uniform expectation. Item is "high popularity" when popularity_index ≥ 0.70 — the industry-standard threshold from Kasavana-Smith.</w:t>
      </w:r>
    </w:p>
    <w:p>
      <w:pPr>
        <w:spacing w:after="80" w:before="80" w:line="300"/>
      </w:pPr>
      <w:r>
        <w:rPr>
          <w:rFonts w:ascii="Arial" w:cs="Arial" w:eastAsia="Arial" w:hAnsi="Arial"/>
          <w:color w:val="0F172A"/>
          <w:sz w:val="22"/>
          <w:szCs w:val="22"/>
        </w:rPr>
        <w:t xml:space="preserve">Why 0.70 specifically: empirically validated over forty years of restaurant operations practice. Items below 70% of their expected uniform share genuinely feel "underperforming" to operators; items above feel "doing well." It's a domain convention, not a derived constant — and it's documented in the UI per Lock 11.69.</w:t>
      </w:r>
    </w:p>
    <w:p>
      <w:pPr>
        <w:pStyle w:val="Heading3"/>
        <w:spacing w:after="100" w:before="200"/>
      </w:pPr>
      <w:r>
        <w:rPr>
          <w:rFonts w:ascii="Arial" w:cs="Arial" w:eastAsia="Arial" w:hAnsi="Arial"/>
          <w:b/>
          <w:bCs/>
          <w:color w:val="0F172A"/>
          <w:sz w:val="24"/>
          <w:szCs w:val="24"/>
        </w:rPr>
        <w:t xml:space="preserve">5.6.3 Profitability axis</w:t>
      </w:r>
    </w:p>
    <w:p>
      <w:pPr>
        <w:shd w:fill="F8FAFC" w:val="clear"/>
        <w:spacing w:after="80" w:before="80" w:line="280"/>
      </w:pPr>
      <w:r>
        <w:rPr>
          <w:rFonts w:ascii="Courier New" w:cs="Courier New" w:eastAsia="Courier New" w:hAnsi="Courier New"/>
          <w:color w:val="0F172A"/>
          <w:sz w:val="20"/>
          <w:szCs w:val="20"/>
        </w:rPr>
        <w:t xml:space="preserve">contribution_margin_pct = (net_revenue_per_unit - cost_per_unit) / net_revenue_per_unit</w:t>
      </w:r>
    </w:p>
    <w:p>
      <w:pPr>
        <w:spacing w:after="80" w:before="80" w:line="300"/>
      </w:pPr>
      <w:r>
        <w:rPr>
          <w:rFonts w:ascii="Arial" w:cs="Arial" w:eastAsia="Arial" w:hAnsi="Arial"/>
          <w:color w:val="0F172A"/>
          <w:sz w:val="22"/>
          <w:szCs w:val="22"/>
        </w:rPr>
        <w:t xml:space="preserve">net_revenue_per_unit applies channel-weighted commissions per Lock 11.21–11.25. cost_per_unit comes from recipe COGS (Workstream 6 recipes + Workstream 10 ingredient_prices). Item is "high profitability" when contribution_margin_pct ≥ menu_average_margin_pct (mean across all active menu items for the window).</w:t>
      </w:r>
    </w:p>
    <w:p>
      <w:pPr>
        <w:pStyle w:val="Heading3"/>
        <w:spacing w:after="100" w:before="200"/>
      </w:pPr>
      <w:r>
        <w:rPr>
          <w:rFonts w:ascii="Arial" w:cs="Arial" w:eastAsia="Arial" w:hAnsi="Arial"/>
          <w:b/>
          <w:bCs/>
          <w:color w:val="0F172A"/>
          <w:sz w:val="24"/>
          <w:szCs w:val="24"/>
        </w:rPr>
        <w:t xml:space="preserve">5.6.4 Quadrant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Popularity</w:t>
            </w:r>
          </w:p>
        </w:tc>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Margin</w:t>
            </w:r>
          </w:p>
        </w:tc>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Quadrant</w:t>
            </w:r>
          </w:p>
        </w:tc>
        <w:tc>
          <w:tcPr>
            <w:tcW w:type="dxa" w:w="31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Color</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 0.70</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 menu average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Star</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Green (T.green)</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&lt; 0.70</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 menu average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Puzzle</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Amber (T.amber)</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 0.70</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&lt; menu average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Plowhorse</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Blue (T.blue)</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&lt; 0.70</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&lt; menu average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Dog</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Red (T.red)</w:t>
            </w:r>
          </w:p>
        </w:tc>
      </w:tr>
    </w:tbl>
    <w:p>
      <w:pPr>
        <w:spacing w:after="80" w:before="80" w:line="300"/>
      </w:pPr>
      <w:r>
        <w:rPr>
          <w:rFonts w:ascii="Arial" w:cs="Arial" w:eastAsia="Arial" w:hAnsi="Arial"/>
          <w:color w:val="0F172A"/>
          <w:sz w:val="22"/>
          <w:szCs w:val="22"/>
        </w:rPr>
        <w:t xml:space="preserve">Computation is deterministic and runs at query time from menu_items + sales aggregates + recipe COGS + tenant_channel_settings. No hardcoded item-to-quadrant mappings anywhere.</w:t>
      </w:r>
    </w:p>
    <w:p>
      <w:pPr>
        <w:pStyle w:val="Heading3"/>
        <w:spacing w:after="100" w:before="200"/>
      </w:pPr>
      <w:r>
        <w:rPr>
          <w:rFonts w:ascii="Arial" w:cs="Arial" w:eastAsia="Arial" w:hAnsi="Arial"/>
          <w:b/>
          <w:bCs/>
          <w:color w:val="0F172A"/>
          <w:sz w:val="24"/>
          <w:szCs w:val="24"/>
        </w:rPr>
        <w:t xml:space="preserve">5.6.5 Edge cases</w:t>
      </w:r>
    </w:p>
    <w:p>
      <w:pPr>
        <w:pStyle w:val="ListParagraph"/>
        <w:numPr>
          <w:ilvl w:val="0"/>
          <w:numId w:val="2"/>
        </w:numPr>
        <w:spacing w:after="60" w:before="60" w:line="300"/>
      </w:pPr>
      <w:r>
        <w:rPr>
          <w:rFonts w:ascii="Arial" w:cs="Arial" w:eastAsia="Arial" w:hAnsi="Arial"/>
          <w:b/>
          <w:bCs/>
          <w:color w:val="0F172A"/>
          <w:sz w:val="22"/>
          <w:szCs w:val="22"/>
        </w:rPr>
        <w:t xml:space="preserve">Single-item menu (N=1): </w:t>
      </w:r>
      <w:r>
        <w:rPr>
          <w:rFonts w:ascii="Arial" w:cs="Arial" w:eastAsia="Arial" w:hAnsi="Arial"/>
          <w:color w:val="0F172A"/>
          <w:sz w:val="22"/>
          <w:szCs w:val="22"/>
        </w:rPr>
        <w:t xml:space="preserve">popularity_index degenerates. Menu tab renders empty state ("Add more items to see menu engineering insights").</w:t>
      </w:r>
    </w:p>
    <w:p>
      <w:pPr>
        <w:pStyle w:val="ListParagraph"/>
        <w:numPr>
          <w:ilvl w:val="0"/>
          <w:numId w:val="2"/>
        </w:numPr>
        <w:spacing w:after="60" w:before="60" w:line="300"/>
      </w:pPr>
      <w:r>
        <w:rPr>
          <w:rFonts w:ascii="Arial" w:cs="Arial" w:eastAsia="Arial" w:hAnsi="Arial"/>
          <w:b/>
          <w:bCs/>
          <w:color w:val="0F172A"/>
          <w:sz w:val="22"/>
          <w:szCs w:val="22"/>
        </w:rPr>
        <w:t xml:space="preserve">Item with zero sales for window: </w:t>
      </w:r>
      <w:r>
        <w:rPr>
          <w:rFonts w:ascii="Arial" w:cs="Arial" w:eastAsia="Arial" w:hAnsi="Arial"/>
          <w:color w:val="0F172A"/>
          <w:sz w:val="22"/>
          <w:szCs w:val="22"/>
        </w:rPr>
        <w:t xml:space="preserve">Excluded from quadrant computation. Rendered separately in a "no sales this period" affordance.</w:t>
      </w:r>
    </w:p>
    <w:p>
      <w:pPr>
        <w:pStyle w:val="ListParagraph"/>
        <w:numPr>
          <w:ilvl w:val="0"/>
          <w:numId w:val="2"/>
        </w:numPr>
        <w:spacing w:after="60" w:before="60" w:line="300"/>
      </w:pPr>
      <w:r>
        <w:rPr>
          <w:rFonts w:ascii="Arial" w:cs="Arial" w:eastAsia="Arial" w:hAnsi="Arial"/>
          <w:b/>
          <w:bCs/>
          <w:color w:val="0F172A"/>
          <w:sz w:val="22"/>
          <w:szCs w:val="22"/>
        </w:rPr>
        <w:t xml:space="preserve">All items below average margin: </w:t>
      </w:r>
      <w:r>
        <w:rPr>
          <w:rFonts w:ascii="Arial" w:cs="Arial" w:eastAsia="Arial" w:hAnsi="Arial"/>
          <w:color w:val="0F172A"/>
          <w:sz w:val="22"/>
          <w:szCs w:val="22"/>
        </w:rPr>
        <w:t xml:space="preserve">Valid output (every item in Plowhorse or Dog). System is honest — if menu is genuinely low-margin across the board, the quadrant reflects that. No artificial Stars.</w:t>
      </w:r>
    </w:p>
    <w:p>
      <w:pPr>
        <w:pStyle w:val="Heading2"/>
        <w:spacing w:after="120" w:before="280"/>
      </w:pPr>
      <w:r>
        <w:rPr>
          <w:rFonts w:ascii="Arial" w:cs="Arial" w:eastAsia="Arial" w:hAnsi="Arial"/>
          <w:b/>
          <w:bCs/>
          <w:color w:val="0F172A"/>
          <w:sz w:val="28"/>
          <w:szCs w:val="28"/>
        </w:rPr>
        <w:t xml:space="preserve">5.7 Round 11a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Menu item categories: Option B. Per-tenant menu_categories table.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menu_categories schema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menu_items extension: category_id column, nullable.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Default category palette: 7 colors. Owner picks at creation.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Onboarding category step after POS connection.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Recategorization: owner moves items between categories anytime.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Category soft-delete via Lock 8.65 pattern.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11.39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cross-tenant category aggregation enablement.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Uncategorized handling: gray bucket; &gt;10% triggers banner.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Channel enum split: in_house → dine_in + takeout. SUPERSEDES Lock 9.27.</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supersedes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9.27 supersession audit trail.</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adapter mapping responsibilities for split.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Channel mapping ambiguity → other + P2 alert.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Default tenant_channel_settings for split.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UI rendering: hide channels with zero revenue.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Backfill considerations: v1 launches with new enum from day 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Star/Kill callout selection: Pattern 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11.49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RISING selection from Stars + highest WoW.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KILL selection from Dogs + worst trajectory.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Minimum tenure guard for KILL (≥30 days).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Empty state: cards hide if no candidates.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RISING card template.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KILL card template.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Number formatting helpers across templates.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Snapshot tests in CI per Lock 9.65.</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opinionated UI deterministic; Anthropic structured outputs only.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Top 5 tiebreak: alphabetical.</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11.59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"See all N →" opens Menu tab.</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 is dynamic (actual menu count); hides when ≤5 items.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BCG quadrant: Method 3 (Kasavana-Smith). pop_index ≥ 0.70.</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Profitability axis: contribution_margin ≥ menu_average.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Quadrant assignment deterministic at query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Active menu item definition for quadrant.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Domain convention disclosed in Quadrant Guide UI.</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per-tenant configurable thresholds.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Single-item menu edge case.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All-items-below-average edge case.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11.69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domain conventions documented in UI.</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w:t>
            </w:r>
          </w:p>
        </w:tc>
      </w:tr>
    </w:tbl>
    <w:p>
      <w:r>
        <w:br w:type="page"/>
      </w:r>
    </w:p>
    <w:p>
      <w:pPr>
        <w:pStyle w:val="Heading1"/>
        <w:spacing w:after="160" w:before="360"/>
      </w:pPr>
      <w:r>
        <w:rPr>
          <w:rFonts w:ascii="Arial" w:cs="Arial" w:eastAsia="Arial" w:hAnsi="Arial"/>
          <w:b/>
          <w:bCs/>
          <w:color w:val="0F172A"/>
          <w:sz w:val="36"/>
          <w:szCs w:val="36"/>
        </w:rPr>
        <w:t xml:space="preserve">6. Sub-round 11b — Menu tab</w:t>
      </w:r>
    </w:p>
    <w:p>
      <w:pPr>
        <w:spacing w:after="80" w:before="80" w:line="300"/>
      </w:pPr>
      <w:r>
        <w:rPr>
          <w:rFonts w:ascii="Arial" w:cs="Arial" w:eastAsia="Arial" w:hAnsi="Arial"/>
          <w:color w:val="0F172A"/>
          <w:sz w:val="22"/>
          <w:szCs w:val="22"/>
        </w:rPr>
        <w:t xml:space="preserve">The Menu tab renders three components: BCG quadrant chart (computation already locked in 11a), Selected item detail (price elasticity curve + action plan), and Quadrant guide legend (renders existing definitions).</w:t>
      </w:r>
    </w:p>
    <w:p>
      <w:pPr>
        <w:pStyle w:val="Heading2"/>
        <w:spacing w:after="120" w:before="280"/>
      </w:pPr>
      <w:r>
        <w:rPr>
          <w:rFonts w:ascii="Arial" w:cs="Arial" w:eastAsia="Arial" w:hAnsi="Arial"/>
          <w:b/>
          <w:bCs/>
          <w:color w:val="0F172A"/>
          <w:sz w:val="28"/>
          <w:szCs w:val="28"/>
        </w:rPr>
        <w:t xml:space="preserve">6.1 Price elasticity — three-tier fallback</w:t>
      </w:r>
    </w:p>
    <w:p>
      <w:pPr>
        <w:spacing w:after="80" w:before="80" w:line="300"/>
      </w:pPr>
      <w:r>
        <w:rPr>
          <w:rFonts w:ascii="Arial" w:cs="Arial" w:eastAsia="Arial" w:hAnsi="Arial"/>
          <w:color w:val="0F172A"/>
          <w:sz w:val="22"/>
          <w:szCs w:val="22"/>
        </w:rPr>
        <w:t xml:space="preserve">Locks 11.70–11.80. Pattern B with explicit confidence labels at each tier.</w:t>
      </w:r>
    </w:p>
    <w:p>
      <w:pPr>
        <w:pStyle w:val="Heading3"/>
        <w:spacing w:after="100" w:before="200"/>
      </w:pPr>
      <w:r>
        <w:rPr>
          <w:rFonts w:ascii="Arial" w:cs="Arial" w:eastAsia="Arial" w:hAnsi="Arial"/>
          <w:b/>
          <w:bCs/>
          <w:color w:val="0F172A"/>
          <w:sz w:val="24"/>
          <w:szCs w:val="24"/>
        </w:rPr>
        <w:t xml:space="preserve">6.1.1 Tier 1 — Per-item regression</w:t>
      </w:r>
    </w:p>
    <w:p>
      <w:pPr>
        <w:spacing w:after="80" w:before="80" w:line="300"/>
      </w:pPr>
      <w:r>
        <w:rPr>
          <w:rFonts w:ascii="Arial" w:cs="Arial" w:eastAsia="Arial" w:hAnsi="Arial"/>
          <w:color w:val="0F172A"/>
          <w:sz w:val="22"/>
          <w:szCs w:val="22"/>
        </w:rPr>
        <w:t xml:space="preserve">When item has ≥3 distinct price changes in the last 24 months, compute elasticity via linear regression on (price, demand) pairs aggregated to weekly buckets. Output: per-item elasticity coefficient + 95% confidence interval.</w:t>
      </w:r>
    </w:p>
    <w:p>
      <w:pPr>
        <w:shd w:fill="F8FAFC" w:val="clear"/>
        <w:spacing w:after="80" w:before="80" w:line="280"/>
      </w:pPr>
      <w:r>
        <w:rPr>
          <w:rFonts w:ascii="Courier New" w:cs="Courier New" w:eastAsia="Courier New" w:hAnsi="Courier New"/>
          <w:color w:val="0F172A"/>
          <w:sz w:val="20"/>
          <w:szCs w:val="20"/>
        </w:rPr>
        <w:t xml:space="preserve">elasticity_per_item = -slope_of_regression × (mean_price / mean_demand)
Where regression solves: log(demand) = α + β × log(price)
elasticity = -β</w:t>
      </w:r>
    </w:p>
    <w:p>
      <w:pPr>
        <w:pStyle w:val="Heading3"/>
        <w:spacing w:after="100" w:before="200"/>
      </w:pPr>
      <w:r>
        <w:rPr>
          <w:rFonts w:ascii="Arial" w:cs="Arial" w:eastAsia="Arial" w:hAnsi="Arial"/>
          <w:b/>
          <w:bCs/>
          <w:color w:val="0F172A"/>
          <w:sz w:val="24"/>
          <w:szCs w:val="24"/>
        </w:rPr>
        <w:t xml:space="preserve">6.1.2 Tier 2 — Tenant menu-wide average</w:t>
      </w:r>
    </w:p>
    <w:p>
      <w:pPr>
        <w:spacing w:after="80" w:before="80" w:line="300"/>
      </w:pPr>
      <w:r>
        <w:rPr>
          <w:rFonts w:ascii="Arial" w:cs="Arial" w:eastAsia="Arial" w:hAnsi="Arial"/>
          <w:color w:val="0F172A"/>
          <w:sz w:val="22"/>
          <w:szCs w:val="22"/>
        </w:rPr>
        <w:t xml:space="preserve">When item has &lt;3 price changes but tenant has ≥3 across other items, compute tenant menu-wide average elasticity. Apply to items lacking individual signal.</w:t>
      </w:r>
    </w:p>
    <w:p>
      <w:pPr>
        <w:pStyle w:val="Heading3"/>
        <w:spacing w:after="100" w:before="200"/>
      </w:pPr>
      <w:r>
        <w:rPr>
          <w:rFonts w:ascii="Arial" w:cs="Arial" w:eastAsia="Arial" w:hAnsi="Arial"/>
          <w:b/>
          <w:bCs/>
          <w:color w:val="0F172A"/>
          <w:sz w:val="24"/>
          <w:szCs w:val="24"/>
        </w:rPr>
        <w:t xml:space="preserve">6.1.3 Tier 3 — Industry default</w:t>
      </w:r>
    </w:p>
    <w:p>
      <w:pPr>
        <w:spacing w:after="80" w:before="80" w:line="300"/>
      </w:pPr>
      <w:r>
        <w:rPr>
          <w:rFonts w:ascii="Arial" w:cs="Arial" w:eastAsia="Arial" w:hAnsi="Arial"/>
          <w:color w:val="0F172A"/>
          <w:sz w:val="22"/>
          <w:szCs w:val="22"/>
        </w:rPr>
        <w:t xml:space="preserve">When tenant has no price-change history at all, use 1.2 (mid-range for restaurant food per established operations literature). Documented in UI as "industry default for restaurants."</w:t>
      </w:r>
    </w:p>
    <w:p>
      <w:pPr>
        <w:pStyle w:val="Heading3"/>
        <w:spacing w:after="100" w:before="200"/>
      </w:pPr>
      <w:r>
        <w:rPr>
          <w:rFonts w:ascii="Arial" w:cs="Arial" w:eastAsia="Arial" w:hAnsi="Arial"/>
          <w:b/>
          <w:bCs/>
          <w:color w:val="0F172A"/>
          <w:sz w:val="24"/>
          <w:szCs w:val="24"/>
        </w:rPr>
        <w:t xml:space="preserve">6.1.4 Bounds and confidence</w:t>
      </w:r>
    </w:p>
    <w:p>
      <w:pPr>
        <w:spacing w:after="80" w:before="80" w:line="300"/>
      </w:pPr>
      <w:r>
        <w:rPr>
          <w:rFonts w:ascii="Arial" w:cs="Arial" w:eastAsia="Arial" w:hAnsi="Arial"/>
          <w:color w:val="0F172A"/>
          <w:sz w:val="22"/>
          <w:szCs w:val="22"/>
        </w:rPr>
        <w:t xml:space="preserve">Bounded to [0.2, 3.0]. Values outside this range are rejected as likely regression artifacts (a flash sale, a one-off promotion confounding the data) and fall back to Tier 2 or Tier 3.</w:t>
      </w:r>
    </w:p>
    <w:p>
      <w:pPr>
        <w:spacing w:after="80" w:before="80" w:line="300"/>
      </w:pPr>
      <w:r>
        <w:rPr>
          <w:rFonts w:ascii="Arial" w:cs="Arial" w:eastAsia="Arial" w:hAnsi="Arial"/>
          <w:color w:val="0F172A"/>
          <w:sz w:val="22"/>
          <w:szCs w:val="22"/>
        </w:rPr>
        <w:t xml:space="preserve">Confidence label under curve: "Based on N price changes for this item" (Tier 1) / "Based on your menu's average from N price changes across M items" (Tier 2) / "Based on industry default for restaurants (1.2)" (Tier 3).</w:t>
      </w:r>
    </w:p>
    <w:p>
      <w:pPr>
        <w:pStyle w:val="Heading3"/>
        <w:spacing w:after="100" w:before="200"/>
      </w:pPr>
      <w:r>
        <w:rPr>
          <w:rFonts w:ascii="Arial" w:cs="Arial" w:eastAsia="Arial" w:hAnsi="Arial"/>
          <w:b/>
          <w:bCs/>
          <w:color w:val="0F172A"/>
          <w:sz w:val="24"/>
          <w:szCs w:val="24"/>
        </w:rPr>
        <w:t xml:space="preserve">6.1.5 Demand-response computation</w:t>
      </w:r>
    </w:p>
    <w:p>
      <w:pPr>
        <w:spacing w:after="80" w:before="80" w:line="300"/>
      </w:pPr>
      <w:r>
        <w:rPr>
          <w:rFonts w:ascii="Arial" w:cs="Arial" w:eastAsia="Arial" w:hAnsi="Arial"/>
          <w:color w:val="0F172A"/>
          <w:sz w:val="22"/>
          <w:szCs w:val="22"/>
        </w:rPr>
        <w:t xml:space="preserve">At a projected new price, the projected demand is computed as:</w:t>
      </w:r>
    </w:p>
    <w:p>
      <w:pPr>
        <w:shd w:fill="F8FAFC" w:val="clear"/>
        <w:spacing w:after="80" w:before="80" w:line="280"/>
      </w:pPr>
      <w:r>
        <w:rPr>
          <w:rFonts w:ascii="Courier New" w:cs="Courier New" w:eastAsia="Courier New" w:hAnsi="Courier New"/>
          <w:color w:val="0F172A"/>
          <w:sz w:val="20"/>
          <w:szCs w:val="20"/>
        </w:rPr>
        <w:t xml:space="preserve">projected_demand = current_demand × (1 - elasticity × (price_delta / current_price))
(bounded at 0; no negative demand)</w:t>
      </w:r>
    </w:p>
    <w:p>
      <w:pPr>
        <w:spacing w:after="80" w:before="80" w:line="300"/>
      </w:pPr>
      <w:r>
        <w:rPr>
          <w:rFonts w:ascii="Arial" w:cs="Arial" w:eastAsia="Arial" w:hAnsi="Arial"/>
          <w:color w:val="0F172A"/>
          <w:sz w:val="22"/>
          <w:szCs w:val="22"/>
        </w:rPr>
        <w:t xml:space="preserve">Annual revenue impact:</w:t>
      </w:r>
    </w:p>
    <w:p>
      <w:pPr>
        <w:shd w:fill="F8FAFC" w:val="clear"/>
        <w:spacing w:after="80" w:before="80" w:line="280"/>
      </w:pPr>
      <w:r>
        <w:rPr>
          <w:rFonts w:ascii="Courier New" w:cs="Courier New" w:eastAsia="Courier New" w:hAnsi="Courier New"/>
          <w:color w:val="0F172A"/>
          <w:sz w:val="20"/>
          <w:szCs w:val="20"/>
        </w:rPr>
        <w:t xml:space="preserve">annual_revenue_impact = (new_price × projected_demand - current_price × current_demand) × 52 weeks</w:t>
      </w:r>
    </w:p>
    <w:p>
      <w:pPr>
        <w:pStyle w:val="Heading3"/>
        <w:spacing w:after="100" w:before="200"/>
      </w:pPr>
      <w:r>
        <w:rPr>
          <w:rFonts w:ascii="Arial" w:cs="Arial" w:eastAsia="Arial" w:hAnsi="Arial"/>
          <w:b/>
          <w:bCs/>
          <w:color w:val="0F172A"/>
          <w:sz w:val="24"/>
          <w:szCs w:val="24"/>
        </w:rPr>
        <w:t xml:space="preserve">6.1.6 Storage and caching</w:t>
      </w:r>
    </w:p>
    <w:p>
      <w:pPr>
        <w:spacing w:after="80" w:before="80" w:line="300"/>
      </w:pPr>
      <w:r>
        <w:rPr>
          <w:rFonts w:ascii="Arial" w:cs="Arial" w:eastAsia="Arial" w:hAnsi="Arial"/>
          <w:color w:val="0F172A"/>
          <w:sz w:val="22"/>
          <w:szCs w:val="22"/>
        </w:rPr>
        <w:t xml:space="preserve">Computed elasticity cached per (tenant_id, menu_item_id) for 7 days. Re-computed weekly during the nightly batch (Lock 6.45) or on-demand if a price change occurs. menu_item_elasticity table: elasticity_id (UUIDv7 PK), tenant_id (FK + RLS T1), menu_item_id (FK), tier (enum: per_item / per_tenant_avg / industry_default), elasticity_coefficient (decimal), confidence_interval_lo, confidence_interval_hi, source_observation_count (integer), computed_at, expires_at.</w:t>
      </w:r>
    </w:p>
    <w:p>
      <w:pPr>
        <w:pStyle w:val="Heading2"/>
        <w:spacing w:after="120" w:before="280"/>
      </w:pPr>
      <w:r>
        <w:rPr>
          <w:rFonts w:ascii="Arial" w:cs="Arial" w:eastAsia="Arial" w:hAnsi="Arial"/>
          <w:b/>
          <w:bCs/>
          <w:color w:val="0F172A"/>
          <w:sz w:val="28"/>
          <w:szCs w:val="28"/>
        </w:rPr>
        <w:t xml:space="preserve">6.2 "What ReorderOS Recommends" — Pattern D action library</w:t>
      </w:r>
    </w:p>
    <w:p>
      <w:pPr>
        <w:spacing w:after="80" w:before="80" w:line="300"/>
      </w:pPr>
      <w:r>
        <w:rPr>
          <w:rFonts w:ascii="Arial" w:cs="Arial" w:eastAsia="Arial" w:hAnsi="Arial"/>
          <w:color w:val="0F172A"/>
          <w:sz w:val="22"/>
          <w:szCs w:val="22"/>
        </w:rPr>
        <w:t xml:space="preserve">Locks 11.81–11.91. Hardcoded action library with tenant-data-filled templates. No Anthropic involvement. Section label changes from "ACTION PLAN · CLAUDE" to "WHAT REORDEROS RECOMMENDS" — claims authorship for the system, not for an LLM.</w:t>
      </w:r>
    </w:p>
    <w:p>
      <w:pPr>
        <w:pStyle w:val="Heading3"/>
        <w:spacing w:after="100" w:before="200"/>
      </w:pPr>
      <w:r>
        <w:rPr>
          <w:rFonts w:ascii="Arial" w:cs="Arial" w:eastAsia="Arial" w:hAnsi="Arial"/>
          <w:b/>
          <w:bCs/>
          <w:color w:val="0F172A"/>
          <w:sz w:val="24"/>
          <w:szCs w:val="24"/>
        </w:rPr>
        <w:t xml:space="preserve">6.2.1 Action library structure</w:t>
      </w:r>
    </w:p>
    <w:p>
      <w:pPr>
        <w:spacing w:after="80" w:before="80" w:line="300"/>
      </w:pPr>
      <w:r>
        <w:rPr>
          <w:rFonts w:ascii="Arial" w:cs="Arial" w:eastAsia="Arial" w:hAnsi="Arial"/>
          <w:color w:val="0F172A"/>
          <w:sz w:val="22"/>
          <w:szCs w:val="22"/>
        </w:rPr>
        <w:t xml:space="preserve">Each action has: action_id (TEXT, e.g. "feature_on_home_board"), title_template (TEXT with placeholders), subtitle_template (TEXT), icon_name (TEXT), applicability_function (Python function: takes item context + tenant data, returns bool). Library lives in code, version-controlled.</w:t>
      </w:r>
    </w:p>
    <w:p>
      <w:pPr>
        <w:pStyle w:val="Heading3"/>
        <w:spacing w:after="100" w:before="200"/>
      </w:pPr>
      <w:r>
        <w:rPr>
          <w:rFonts w:ascii="Arial" w:cs="Arial" w:eastAsia="Arial" w:hAnsi="Arial"/>
          <w:b/>
          <w:bCs/>
          <w:color w:val="0F172A"/>
          <w:sz w:val="24"/>
          <w:szCs w:val="24"/>
        </w:rPr>
        <w:t xml:space="preserve">6.2.2 Initial v1 library</w:t>
      </w:r>
    </w:p>
    <w:p>
      <w:pPr>
        <w:spacing w:after="80" w:before="80" w:line="300"/>
      </w:pPr>
      <w:r>
        <w:rPr>
          <w:rFonts w:ascii="Arial" w:cs="Arial" w:eastAsia="Arial" w:hAnsi="Arial"/>
          <w:color w:val="0F172A"/>
          <w:sz w:val="22"/>
          <w:szCs w:val="22"/>
        </w:rPr>
        <w:t xml:space="preserve">~12-15 actions covering 4 quadrants × 3 action types each, where applicable. Examples:</w:t>
      </w:r>
    </w:p>
    <w:p>
      <w:pPr>
        <w:pStyle w:val="ListParagraph"/>
        <w:numPr>
          <w:ilvl w:val="0"/>
          <w:numId w:val="2"/>
        </w:numPr>
        <w:spacing w:after="60" w:before="60" w:line="300"/>
      </w:pPr>
      <w:r>
        <w:rPr>
          <w:rFonts w:ascii="Arial" w:cs="Arial" w:eastAsia="Arial" w:hAnsi="Arial"/>
          <w:b/>
          <w:bCs/>
          <w:color w:val="0F172A"/>
          <w:sz w:val="22"/>
          <w:szCs w:val="22"/>
        </w:rPr>
        <w:t xml:space="preserve">feature_on_home_board </w:t>
      </w:r>
      <w:r>
        <w:rPr>
          <w:rFonts w:ascii="Arial" w:cs="Arial" w:eastAsia="Arial" w:hAnsi="Arial"/>
          <w:color w:val="0F172A"/>
          <w:sz w:val="22"/>
          <w:szCs w:val="22"/>
        </w:rPr>
        <w:t xml:space="preserve">(Stars only)</w:t>
      </w:r>
    </w:p>
    <w:p>
      <w:pPr>
        <w:pStyle w:val="ListParagraph"/>
        <w:numPr>
          <w:ilvl w:val="0"/>
          <w:numId w:val="2"/>
        </w:numPr>
        <w:spacing w:after="60" w:before="60" w:line="300"/>
      </w:pPr>
      <w:r>
        <w:rPr>
          <w:rFonts w:ascii="Arial" w:cs="Arial" w:eastAsia="Arial" w:hAnsi="Arial"/>
          <w:b/>
          <w:bCs/>
          <w:color w:val="0F172A"/>
          <w:sz w:val="22"/>
          <w:szCs w:val="22"/>
        </w:rPr>
        <w:t xml:space="preserve">bundle_with_high_margin_pair </w:t>
      </w:r>
      <w:r>
        <w:rPr>
          <w:rFonts w:ascii="Arial" w:cs="Arial" w:eastAsia="Arial" w:hAnsi="Arial"/>
          <w:color w:val="0F172A"/>
          <w:sz w:val="22"/>
          <w:szCs w:val="22"/>
        </w:rPr>
        <w:t xml:space="preserve">(Stars and Puzzles)</w:t>
      </w:r>
    </w:p>
    <w:p>
      <w:pPr>
        <w:pStyle w:val="ListParagraph"/>
        <w:numPr>
          <w:ilvl w:val="0"/>
          <w:numId w:val="2"/>
        </w:numPr>
        <w:spacing w:after="60" w:before="60" w:line="300"/>
      </w:pPr>
      <w:r>
        <w:rPr>
          <w:rFonts w:ascii="Arial" w:cs="Arial" w:eastAsia="Arial" w:hAnsi="Arial"/>
          <w:b/>
          <w:bCs/>
          <w:color w:val="0F172A"/>
          <w:sz w:val="22"/>
          <w:szCs w:val="22"/>
        </w:rPr>
        <w:t xml:space="preserve">raise_price </w:t>
      </w:r>
      <w:r>
        <w:rPr>
          <w:rFonts w:ascii="Arial" w:cs="Arial" w:eastAsia="Arial" w:hAnsi="Arial"/>
          <w:color w:val="0F172A"/>
          <w:sz w:val="22"/>
          <w:szCs w:val="22"/>
        </w:rPr>
        <w:t xml:space="preserve">(Plowhorses + Stars with low elasticity)</w:t>
      </w:r>
    </w:p>
    <w:p>
      <w:pPr>
        <w:pStyle w:val="ListParagraph"/>
        <w:numPr>
          <w:ilvl w:val="0"/>
          <w:numId w:val="2"/>
        </w:numPr>
        <w:spacing w:after="60" w:before="60" w:line="300"/>
      </w:pPr>
      <w:r>
        <w:rPr>
          <w:rFonts w:ascii="Arial" w:cs="Arial" w:eastAsia="Arial" w:hAnsi="Arial"/>
          <w:b/>
          <w:bCs/>
          <w:color w:val="0F172A"/>
          <w:sz w:val="22"/>
          <w:szCs w:val="22"/>
        </w:rPr>
        <w:t xml:space="preserve">rework_recipe_for_cost </w:t>
      </w:r>
      <w:r>
        <w:rPr>
          <w:rFonts w:ascii="Arial" w:cs="Arial" w:eastAsia="Arial" w:hAnsi="Arial"/>
          <w:color w:val="0F172A"/>
          <w:sz w:val="22"/>
          <w:szCs w:val="22"/>
        </w:rPr>
        <w:t xml:space="preserve">(Plowhorses)</w:t>
      </w:r>
    </w:p>
    <w:p>
      <w:pPr>
        <w:pStyle w:val="ListParagraph"/>
        <w:numPr>
          <w:ilvl w:val="0"/>
          <w:numId w:val="2"/>
        </w:numPr>
        <w:spacing w:after="60" w:before="60" w:line="300"/>
      </w:pPr>
      <w:r>
        <w:rPr>
          <w:rFonts w:ascii="Arial" w:cs="Arial" w:eastAsia="Arial" w:hAnsi="Arial"/>
          <w:b/>
          <w:bCs/>
          <w:color w:val="0F172A"/>
          <w:sz w:val="22"/>
          <w:szCs w:val="22"/>
        </w:rPr>
        <w:t xml:space="preserve">remove_from_menu </w:t>
      </w:r>
      <w:r>
        <w:rPr>
          <w:rFonts w:ascii="Arial" w:cs="Arial" w:eastAsia="Arial" w:hAnsi="Arial"/>
          <w:color w:val="0F172A"/>
          <w:sz w:val="22"/>
          <w:szCs w:val="22"/>
        </w:rPr>
        <w:t xml:space="preserve">(Dogs with ≥30 days tenure)</w:t>
      </w:r>
    </w:p>
    <w:p>
      <w:pPr>
        <w:pStyle w:val="ListParagraph"/>
        <w:numPr>
          <w:ilvl w:val="0"/>
          <w:numId w:val="2"/>
        </w:numPr>
        <w:spacing w:after="60" w:before="60" w:line="300"/>
      </w:pPr>
      <w:r>
        <w:rPr>
          <w:rFonts w:ascii="Arial" w:cs="Arial" w:eastAsia="Arial" w:hAnsi="Arial"/>
          <w:b/>
          <w:bCs/>
          <w:color w:val="0F172A"/>
          <w:sz w:val="22"/>
          <w:szCs w:val="22"/>
        </w:rPr>
        <w:t xml:space="preserve">reposition_menu_placement </w:t>
      </w:r>
      <w:r>
        <w:rPr>
          <w:rFonts w:ascii="Arial" w:cs="Arial" w:eastAsia="Arial" w:hAnsi="Arial"/>
          <w:color w:val="0F172A"/>
          <w:sz w:val="22"/>
          <w:szCs w:val="22"/>
        </w:rPr>
        <w:t xml:space="preserve">(Puzzles)</w:t>
      </w:r>
    </w:p>
    <w:p>
      <w:pPr>
        <w:pStyle w:val="ListParagraph"/>
        <w:numPr>
          <w:ilvl w:val="0"/>
          <w:numId w:val="2"/>
        </w:numPr>
        <w:spacing w:after="60" w:before="60" w:line="300"/>
      </w:pPr>
      <w:r>
        <w:rPr>
          <w:rFonts w:ascii="Arial" w:cs="Arial" w:eastAsia="Arial" w:hAnsi="Arial"/>
          <w:b/>
          <w:bCs/>
          <w:color w:val="0F172A"/>
          <w:sz w:val="22"/>
          <w:szCs w:val="22"/>
        </w:rPr>
        <w:t xml:space="preserve">reshoot_photo </w:t>
      </w:r>
      <w:r>
        <w:rPr>
          <w:rFonts w:ascii="Arial" w:cs="Arial" w:eastAsia="Arial" w:hAnsi="Arial"/>
          <w:color w:val="0F172A"/>
          <w:sz w:val="22"/>
          <w:szCs w:val="22"/>
        </w:rPr>
        <w:t xml:space="preserve">(Puzzles + Stars)</w:t>
      </w:r>
    </w:p>
    <w:p>
      <w:pPr>
        <w:pStyle w:val="ListParagraph"/>
        <w:numPr>
          <w:ilvl w:val="0"/>
          <w:numId w:val="2"/>
        </w:numPr>
        <w:spacing w:after="60" w:before="60" w:line="300"/>
      </w:pPr>
      <w:r>
        <w:rPr>
          <w:rFonts w:ascii="Arial" w:cs="Arial" w:eastAsia="Arial" w:hAnsi="Arial"/>
          <w:b/>
          <w:bCs/>
          <w:color w:val="0F172A"/>
          <w:sz w:val="22"/>
          <w:szCs w:val="22"/>
        </w:rPr>
        <w:t xml:space="preserve">create_winback_promo </w:t>
      </w:r>
      <w:r>
        <w:rPr>
          <w:rFonts w:ascii="Arial" w:cs="Arial" w:eastAsia="Arial" w:hAnsi="Arial"/>
          <w:color w:val="0F172A"/>
          <w:sz w:val="22"/>
          <w:szCs w:val="22"/>
        </w:rPr>
        <w:t xml:space="preserve">(recently-86'd items)</w:t>
      </w:r>
    </w:p>
    <w:p>
      <w:pPr>
        <w:pStyle w:val="Heading3"/>
        <w:spacing w:after="100" w:before="200"/>
      </w:pPr>
      <w:r>
        <w:rPr>
          <w:rFonts w:ascii="Arial" w:cs="Arial" w:eastAsia="Arial" w:hAnsi="Arial"/>
          <w:b/>
          <w:bCs/>
          <w:color w:val="0F172A"/>
          <w:sz w:val="24"/>
          <w:szCs w:val="24"/>
        </w:rPr>
        <w:t xml:space="preserve">6.2.3 Action selection algorithm</w:t>
      </w:r>
    </w:p>
    <w:p>
      <w:pPr>
        <w:spacing w:after="80" w:before="80" w:line="300"/>
      </w:pPr>
      <w:r>
        <w:rPr>
          <w:rFonts w:ascii="Arial" w:cs="Arial" w:eastAsia="Arial" w:hAnsi="Arial"/>
          <w:color w:val="0F172A"/>
          <w:sz w:val="22"/>
          <w:szCs w:val="22"/>
        </w:rPr>
        <w:t xml:space="preserve">For the selected item, evaluate applicability_function for each action in the library against the item's context. Score applicable actions by relevance heuristic (quadrant fit + magnitude of relevant signal — e.g., "raise_price" scores higher when elasticity is low). Take top 3. Deterministic given same input.</w:t>
      </w:r>
    </w:p>
    <w:p>
      <w:pPr>
        <w:pStyle w:val="Heading3"/>
        <w:spacing w:after="100" w:before="200"/>
      </w:pPr>
      <w:r>
        <w:rPr>
          <w:rFonts w:ascii="Arial" w:cs="Arial" w:eastAsia="Arial" w:hAnsi="Arial"/>
          <w:b/>
          <w:bCs/>
          <w:color w:val="0F172A"/>
          <w:sz w:val="24"/>
          <w:szCs w:val="24"/>
        </w:rPr>
        <w:t xml:space="preserve">6.2.4 Tenant-data slot resolution</w:t>
      </w:r>
    </w:p>
    <w:p>
      <w:pPr>
        <w:spacing w:after="80" w:before="80" w:line="300"/>
      </w:pPr>
      <w:r>
        <w:rPr>
          <w:rFonts w:ascii="Arial" w:cs="Arial" w:eastAsia="Arial" w:hAnsi="Arial"/>
          <w:color w:val="0F172A"/>
          <w:sz w:val="22"/>
          <w:szCs w:val="22"/>
        </w:rPr>
        <w:t xml:space="preserve">Each template references tenant-specific data slots. "Bundle with {tenant_top_margin_drink_same_daypart}" pulls the tenant's highest-margin drink that's typically sold during the same daypart as the selected item. If slot data unavailable, the action filters out (don't show "Bundle with [missing]").</w:t>
      </w:r>
    </w:p>
    <w:p>
      <w:pPr>
        <w:spacing w:after="80" w:before="80" w:line="300"/>
      </w:pPr>
      <w:r>
        <w:rPr>
          <w:rFonts w:ascii="Arial" w:cs="Arial" w:eastAsia="Arial" w:hAnsi="Arial"/>
          <w:color w:val="0F172A"/>
          <w:sz w:val="22"/>
          <w:szCs w:val="22"/>
        </w:rPr>
        <w:t xml:space="preserve">Template slot examples: {tenant_top_margin_drink}, {tenant_top_margin_drink_same_daypart}, {tenant_average_drink_price}, {tenant_lowest_velocity_dog}, {tenant_recent_86_items}, {item_target_price}, {item_quadrant_label}, {weeks_on_menu}, {wow_revenue_change_signed}.</w:t>
      </w:r>
    </w:p>
    <w:p>
      <w:pPr>
        <w:pStyle w:val="Heading2"/>
        <w:spacing w:after="120" w:before="280"/>
      </w:pPr>
      <w:r>
        <w:rPr>
          <w:rFonts w:ascii="Arial" w:cs="Arial" w:eastAsia="Arial" w:hAnsi="Arial"/>
          <w:b/>
          <w:bCs/>
          <w:color w:val="0F172A"/>
          <w:sz w:val="28"/>
          <w:szCs w:val="28"/>
        </w:rPr>
        <w:t xml:space="preserve">6.3 Round 11b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elasticity: Pattern B. Three-tier with confidence labels.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Tier 1: per-item regression (≥3 price changes in 24 months).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Tier 2: tenant menu-wide average.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Tier 3: industry default 1.2.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Confidence label disclosure under curve.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Target price: current + $1 rounded to $0.50.</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Demand-response computation formula.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Edge case: &lt;4 weeks of demand history → card hides.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Bounds [0.2, 3.0]. Outliers fall back to next tier.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11.79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Cached weekly per (tenant_id, menu_item_id).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menu_item_elasticity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Action plan: Pattern D. Library + tenant-data templates.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Section label changes to "WHAT REORDEROS RECOMMENDS".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Action library structure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Initial v1 library (~12-15 actions, 4 quadrants).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Action selection: applicability + relevance scoring + top 3.</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Template slot data filling; filter on missing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Template slot examples (ten common slots).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Action variety guard: graceful degradation to fewer cards.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11.89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path: Anthropic-assisted ranking from library.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Action library evolution: CI tests on templates.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ReorderOS authors recommendations, not LLM.</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w:t>
            </w:r>
          </w:p>
        </w:tc>
      </w:tr>
    </w:tbl>
    <w:p>
      <w:r>
        <w:br w:type="page"/>
      </w:r>
    </w:p>
    <w:p>
      <w:pPr>
        <w:pStyle w:val="Heading1"/>
        <w:spacing w:after="160" w:before="360"/>
      </w:pPr>
      <w:r>
        <w:rPr>
          <w:rFonts w:ascii="Arial" w:cs="Arial" w:eastAsia="Arial" w:hAnsi="Arial"/>
          <w:b/>
          <w:bCs/>
          <w:color w:val="0F172A"/>
          <w:sz w:val="36"/>
          <w:szCs w:val="36"/>
        </w:rPr>
        <w:t xml:space="preserve">7. Sub-round 11c — Dayparts tab</w:t>
      </w:r>
    </w:p>
    <w:p>
      <w:pPr>
        <w:spacing w:after="80" w:before="80" w:line="300"/>
      </w:pPr>
      <w:r>
        <w:rPr>
          <w:rFonts w:ascii="Arial" w:cs="Arial" w:eastAsia="Arial" w:hAnsi="Arial"/>
          <w:color w:val="0F172A"/>
          <w:sz w:val="22"/>
          <w:szCs w:val="22"/>
        </w:rPr>
        <w:t xml:space="preserve">The Dayparts tab renders five components: 7×16 heatmap, selected cell detail, dead zone callout, peak hour callout, and weather sensitivity correlations.</w:t>
      </w:r>
    </w:p>
    <w:p>
      <w:pPr>
        <w:pStyle w:val="Heading2"/>
        <w:spacing w:after="120" w:before="280"/>
      </w:pPr>
      <w:r>
        <w:rPr>
          <w:rFonts w:ascii="Arial" w:cs="Arial" w:eastAsia="Arial" w:hAnsi="Arial"/>
          <w:b/>
          <w:bCs/>
          <w:color w:val="0F172A"/>
          <w:sz w:val="28"/>
          <w:szCs w:val="28"/>
        </w:rPr>
        <w:t xml:space="preserve">7.1 Heatmap aggregation — 12-week trailing window</w:t>
      </w:r>
    </w:p>
    <w:p>
      <w:pPr>
        <w:spacing w:after="80" w:before="80" w:line="300"/>
      </w:pPr>
      <w:r>
        <w:rPr>
          <w:rFonts w:ascii="Arial" w:cs="Arial" w:eastAsia="Arial" w:hAnsi="Arial"/>
          <w:color w:val="0F172A"/>
          <w:sz w:val="22"/>
          <w:szCs w:val="22"/>
        </w:rPr>
        <w:t xml:space="preserve">Locks 11.92–11.100. Option C with outlier exclusion.</w:t>
      </w:r>
    </w:p>
    <w:p>
      <w:pPr>
        <w:pStyle w:val="Heading3"/>
        <w:spacing w:after="100" w:before="200"/>
      </w:pPr>
      <w:r>
        <w:rPr>
          <w:rFonts w:ascii="Arial" w:cs="Arial" w:eastAsia="Arial" w:hAnsi="Arial"/>
          <w:b/>
          <w:bCs/>
          <w:color w:val="0F172A"/>
          <w:sz w:val="24"/>
          <w:szCs w:val="24"/>
        </w:rPr>
        <w:t xml:space="preserve">7.1.1 Cell value computation</w:t>
      </w:r>
    </w:p>
    <w:p>
      <w:pPr>
        <w:shd w:fill="F8FAFC" w:val="clear"/>
        <w:spacing w:after="80" w:before="80" w:line="280"/>
      </w:pPr>
      <w:r>
        <w:rPr>
          <w:rFonts w:ascii="Courier New" w:cs="Courier New" w:eastAsia="Courier New" w:hAnsi="Courier New"/>
          <w:color w:val="0F172A"/>
          <w:sz w:val="20"/>
          <w:szCs w:val="20"/>
        </w:rPr>
        <w:t xml:space="preserve">For each (tenant_id, day_of_week, hour_of_day) cell:
  observations = covers count for that cell across last 12 weeks
  cell_mean = mean(observations)
  cell_stddev = stddev(observations)
  filtered_observations = [obs for obs in observations
                            if |obs - cell_mean| ≤ 2 × cell_stddev]
  final_cell_value = mean(filtered_observations)</w:t>
      </w:r>
    </w:p>
    <w:p>
      <w:pPr>
        <w:spacing w:after="80" w:before="80" w:line="300"/>
      </w:pPr>
      <w:r>
        <w:rPr>
          <w:rFonts w:ascii="Arial" w:cs="Arial" w:eastAsia="Arial" w:hAnsi="Arial"/>
          <w:color w:val="0F172A"/>
          <w:sz w:val="22"/>
          <w:szCs w:val="22"/>
        </w:rPr>
        <w:t xml:space="preserve">If exclusion removes &gt;25% of observations, flag the cell with noisy=true and use the 12-week pure mean (don't over-prune). Same posture as Lock 10.19's bounded confidence on bulk price extraction.</w:t>
      </w:r>
    </w:p>
    <w:p>
      <w:pPr>
        <w:pStyle w:val="Heading3"/>
        <w:spacing w:after="100" w:before="200"/>
      </w:pPr>
      <w:r>
        <w:rPr>
          <w:rFonts w:ascii="Arial" w:cs="Arial" w:eastAsia="Arial" w:hAnsi="Arial"/>
          <w:b/>
          <w:bCs/>
          <w:color w:val="0F172A"/>
          <w:sz w:val="24"/>
          <w:szCs w:val="24"/>
        </w:rPr>
        <w:t xml:space="preserve">7.1.2 Storage and refresh</w:t>
      </w:r>
    </w:p>
    <w:p>
      <w:pPr>
        <w:spacing w:after="80" w:before="80" w:line="300"/>
      </w:pPr>
      <w:r>
        <w:rPr>
          <w:rFonts w:ascii="Arial" w:cs="Arial" w:eastAsia="Arial" w:hAnsi="Arial"/>
          <w:color w:val="0F172A"/>
          <w:sz w:val="22"/>
          <w:szCs w:val="22"/>
        </w:rPr>
        <w:t xml:space="preserve">dayparts_heatmap table: cell_id (UUIDv7 PK), tenant_id (FK + RLS T1), day_of_week (0-6, 0=Monday), hour_of_day (0-15 with offset per Lock 11.93), covers_avg (decimal), revenue_avg_cents (integer), sample_weeks_count (integer), computed_at, expires_at (computed_at + 24h). Refreshed nightly.</w:t>
      </w:r>
    </w:p>
    <w:p>
      <w:pPr>
        <w:pStyle w:val="Heading3"/>
        <w:spacing w:after="100" w:before="200"/>
      </w:pPr>
      <w:r>
        <w:rPr>
          <w:rFonts w:ascii="Arial" w:cs="Arial" w:eastAsia="Arial" w:hAnsi="Arial"/>
          <w:b/>
          <w:bCs/>
          <w:color w:val="0F172A"/>
          <w:sz w:val="24"/>
          <w:szCs w:val="24"/>
        </w:rPr>
        <w:t xml:space="preserve">7.1.3 Color encoding</w:t>
      </w:r>
    </w:p>
    <w:p>
      <w:pPr>
        <w:spacing w:after="80" w:before="80" w:line="300"/>
      </w:pPr>
      <w:r>
        <w:rPr>
          <w:rFonts w:ascii="Arial" w:cs="Arial" w:eastAsia="Arial" w:hAnsi="Arial"/>
          <w:color w:val="0F172A"/>
          <w:sz w:val="22"/>
          <w:szCs w:val="22"/>
        </w:rPr>
        <w:t xml:space="preserve">Per-tenant percentile color normalization. Cell value at the tenant's 90th percentile = darkest green; 0th percentile = lightest. Each tenant's heatmap is normalized to their own scale, not a global one. A small restaurant's peak still looks visually peak even if absolute volume is lower than a large restaurant's trough.</w:t>
      </w:r>
    </w:p>
    <w:p>
      <w:pPr>
        <w:pStyle w:val="Heading3"/>
        <w:spacing w:after="100" w:before="200"/>
      </w:pPr>
      <w:r>
        <w:rPr>
          <w:rFonts w:ascii="Arial" w:cs="Arial" w:eastAsia="Arial" w:hAnsi="Arial"/>
          <w:b/>
          <w:bCs/>
          <w:color w:val="0F172A"/>
          <w:sz w:val="24"/>
          <w:szCs w:val="24"/>
        </w:rPr>
        <w:t xml:space="preserve">7.1.4 Graceful fallback for short-history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Data depth</w:t>
            </w:r>
          </w:p>
        </w:tc>
        <w:tc>
          <w:tcPr>
            <w:tcW w:type="dxa" w:w="6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Behavior</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&lt;2 weeks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Empty state: "Heatmap appears once we have 2+ weeks of sales history."</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2-3 weeks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Renders with label: "Based on N weeks of data — patterns may stabilize after 4+ weeks."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4-11 weeks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Renders with label: "Based on N weeks of data."</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12 weeks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Label drops or shows "Based on 12 weeks of data."</w:t>
            </w:r>
          </w:p>
        </w:tc>
      </w:tr>
    </w:tbl>
    <w:p>
      <w:pPr>
        <w:pStyle w:val="Heading3"/>
        <w:spacing w:after="100" w:before="200"/>
      </w:pPr>
      <w:r>
        <w:rPr>
          <w:rFonts w:ascii="Arial" w:cs="Arial" w:eastAsia="Arial" w:hAnsi="Arial"/>
          <w:b/>
          <w:bCs/>
          <w:color w:val="0F172A"/>
          <w:sz w:val="24"/>
          <w:szCs w:val="24"/>
        </w:rPr>
        <w:t xml:space="preserve">7.1.5 Selected cell detail — supersedes JSX placeholder</w:t>
      </w:r>
    </w:p>
    <w:p>
      <w:pPr>
        <w:spacing w:after="80" w:before="80" w:line="300"/>
      </w:pPr>
      <w:r>
        <w:rPr>
          <w:rFonts w:ascii="Arial" w:cs="Arial" w:eastAsia="Arial" w:hAnsi="Arial"/>
          <w:color w:val="0F172A"/>
          <w:sz w:val="22"/>
          <w:szCs w:val="22"/>
        </w:rPr>
        <w:t xml:space="preserve">Lock 11.99 supersedes the JSX placeholder "selValue * 19.5" hardcoded multiplier. Real implementation:</w:t>
      </w:r>
    </w:p>
    <w:p>
      <w:pPr>
        <w:shd w:fill="F8FAFC" w:val="clear"/>
        <w:spacing w:after="80" w:before="80" w:line="280"/>
      </w:pPr>
      <w:r>
        <w:rPr>
          <w:rFonts w:ascii="Courier New" w:cs="Courier New" w:eastAsia="Courier New" w:hAnsi="Courier New"/>
          <w:color w:val="0F172A"/>
          <w:sz w:val="20"/>
          <w:szCs w:val="20"/>
        </w:rPr>
        <w:t xml:space="preserve">revenue_for_cell = covers_avg × tenant_average_ticket_for_that_daypart
(Real per-daypart average ticket queried from sales aggregates, not a magic number.)</w:t>
      </w:r>
    </w:p>
    <w:p>
      <w:pPr>
        <w:pStyle w:val="Heading2"/>
        <w:spacing w:after="120" w:before="280"/>
      </w:pPr>
      <w:r>
        <w:rPr>
          <w:rFonts w:ascii="Arial" w:cs="Arial" w:eastAsia="Arial" w:hAnsi="Arial"/>
          <w:b/>
          <w:bCs/>
          <w:color w:val="0F172A"/>
          <w:sz w:val="28"/>
          <w:szCs w:val="28"/>
        </w:rPr>
        <w:t xml:space="preserve">7.2 Dead zones / peak hours — Approach D (variance + comparison)</w:t>
      </w:r>
    </w:p>
    <w:p>
      <w:pPr>
        <w:spacing w:after="80" w:before="80" w:line="300"/>
      </w:pPr>
      <w:r>
        <w:rPr>
          <w:rFonts w:ascii="Arial" w:cs="Arial" w:eastAsia="Arial" w:hAnsi="Arial"/>
          <w:color w:val="0F172A"/>
          <w:sz w:val="22"/>
          <w:szCs w:val="22"/>
        </w:rPr>
        <w:t xml:space="preserve">Locks 11.101–11.111. Hybrid B+C: variance check identifies candidates, comparison anchor enriches the narrative.</w:t>
      </w:r>
    </w:p>
    <w:p>
      <w:pPr>
        <w:pStyle w:val="Heading3"/>
        <w:spacing w:after="100" w:before="200"/>
      </w:pPr>
      <w:r>
        <w:rPr>
          <w:rFonts w:ascii="Arial" w:cs="Arial" w:eastAsia="Arial" w:hAnsi="Arial"/>
          <w:b/>
          <w:bCs/>
          <w:color w:val="0F172A"/>
          <w:sz w:val="24"/>
          <w:szCs w:val="24"/>
        </w:rPr>
        <w:t xml:space="preserve">7.2.1 Dead zone candidate identification</w:t>
      </w:r>
    </w:p>
    <w:p>
      <w:pPr>
        <w:shd w:fill="F8FAFC" w:val="clear"/>
        <w:spacing w:after="80" w:before="80" w:line="280"/>
      </w:pPr>
      <w:r>
        <w:rPr>
          <w:rFonts w:ascii="Courier New" w:cs="Courier New" w:eastAsia="Courier New" w:hAnsi="Courier New"/>
          <w:color w:val="0F172A"/>
          <w:sz w:val="20"/>
          <w:szCs w:val="20"/>
        </w:rPr>
        <w:t xml:space="preserve">Dead zone candidates: contiguous block of cells (same days_of_week,
                       same hour range) WHERE
  covers_avg ≤ tenant_25th_percentile_across_all_cells
  AND median_of_tenant_heatmap ≥ 2 × candidate_covers_avg</w:t>
      </w:r>
    </w:p>
    <w:p>
      <w:pPr>
        <w:spacing w:after="80" w:before="80" w:line="300"/>
      </w:pPr>
      <w:r>
        <w:rPr>
          <w:rFonts w:ascii="Arial" w:cs="Arial" w:eastAsia="Arial" w:hAnsi="Arial"/>
          <w:color w:val="0F172A"/>
          <w:sz w:val="22"/>
          <w:szCs w:val="22"/>
        </w:rPr>
        <w:t xml:space="preserve">The 2× threshold is the "meaningful gap" — single cells slightly below 25th percentile aren't flagged unless their value is materially low compared to the typical hour.</w:t>
      </w:r>
    </w:p>
    <w:p>
      <w:pPr>
        <w:pStyle w:val="Heading3"/>
        <w:spacing w:after="100" w:before="200"/>
      </w:pPr>
      <w:r>
        <w:rPr>
          <w:rFonts w:ascii="Arial" w:cs="Arial" w:eastAsia="Arial" w:hAnsi="Arial"/>
          <w:b/>
          <w:bCs/>
          <w:color w:val="0F172A"/>
          <w:sz w:val="24"/>
          <w:szCs w:val="24"/>
        </w:rPr>
        <w:t xml:space="preserve">7.2.2 Peak hour candidate identification</w:t>
      </w:r>
    </w:p>
    <w:p>
      <w:pPr>
        <w:shd w:fill="F8FAFC" w:val="clear"/>
        <w:spacing w:after="80" w:before="80" w:line="280"/>
      </w:pPr>
      <w:r>
        <w:rPr>
          <w:rFonts w:ascii="Courier New" w:cs="Courier New" w:eastAsia="Courier New" w:hAnsi="Courier New"/>
          <w:color w:val="0F172A"/>
          <w:sz w:val="20"/>
          <w:szCs w:val="20"/>
        </w:rPr>
        <w:t xml:space="preserve">Peak hour candidates: contiguous block of cells WHERE
  covers_avg ≥ tenant_90th_percentile_across_all_cells
  AND covers_avg &gt; 1.5 × median_of_tenant_heatmap</w:t>
      </w:r>
    </w:p>
    <w:p>
      <w:pPr>
        <w:pStyle w:val="Heading3"/>
        <w:spacing w:after="100" w:before="200"/>
      </w:pPr>
      <w:r>
        <w:rPr>
          <w:rFonts w:ascii="Arial" w:cs="Arial" w:eastAsia="Arial" w:hAnsi="Arial"/>
          <w:b/>
          <w:bCs/>
          <w:color w:val="0F172A"/>
          <w:sz w:val="24"/>
          <w:szCs w:val="24"/>
        </w:rPr>
        <w:t xml:space="preserve">7.2.3 Comparison anchor selection</w:t>
      </w:r>
    </w:p>
    <w:p>
      <w:pPr>
        <w:pStyle w:val="ListParagraph"/>
        <w:numPr>
          <w:ilvl w:val="0"/>
          <w:numId w:val="2"/>
        </w:numPr>
        <w:spacing w:after="60" w:before="60" w:line="300"/>
      </w:pPr>
      <w:r>
        <w:rPr>
          <w:rFonts w:ascii="Arial" w:cs="Arial" w:eastAsia="Arial" w:hAnsi="Arial"/>
          <w:b/>
          <w:bCs/>
          <w:color w:val="0F172A"/>
          <w:sz w:val="22"/>
          <w:szCs w:val="22"/>
        </w:rPr>
        <w:t xml:space="preserve">Dead zone: </w:t>
      </w:r>
      <w:r>
        <w:rPr>
          <w:rFonts w:ascii="Arial" w:cs="Arial" w:eastAsia="Arial" w:hAnsi="Arial"/>
          <w:color w:val="0F172A"/>
          <w:sz w:val="22"/>
          <w:szCs w:val="22"/>
        </w:rPr>
        <w:t xml:space="preserve">from cells outside the candidate block, find the cell representing the same hour-of-day on a different day-of-week with the largest covers_avg. Example: Tue-Thu 2-4 PM dead zone finds the highest-volume same-hour-different-day cell (likely Fri 2-4 PM) for the comparison.</w:t>
      </w:r>
    </w:p>
    <w:p>
      <w:pPr>
        <w:pStyle w:val="ListParagraph"/>
        <w:numPr>
          <w:ilvl w:val="0"/>
          <w:numId w:val="2"/>
        </w:numPr>
        <w:spacing w:after="60" w:before="60" w:line="300"/>
      </w:pPr>
      <w:r>
        <w:rPr>
          <w:rFonts w:ascii="Arial" w:cs="Arial" w:eastAsia="Arial" w:hAnsi="Arial"/>
          <w:b/>
          <w:bCs/>
          <w:color w:val="0F172A"/>
          <w:sz w:val="22"/>
          <w:szCs w:val="22"/>
        </w:rPr>
        <w:t xml:space="preserve">Peak hour: </w:t>
      </w:r>
      <w:r>
        <w:rPr>
          <w:rFonts w:ascii="Arial" w:cs="Arial" w:eastAsia="Arial" w:hAnsi="Arial"/>
          <w:color w:val="0F172A"/>
          <w:sz w:val="22"/>
          <w:szCs w:val="22"/>
        </w:rPr>
        <w:t xml:space="preserve">the comparison is the tenant's menu-wide hourly average. "Sat 12-1 PM = 98 covers/hr" compared to "tenant's average hour during open window = ~76 covers/hr" produces "+28% vs avg."</w:t>
      </w:r>
    </w:p>
    <w:p>
      <w:pPr>
        <w:pStyle w:val="Heading3"/>
        <w:spacing w:after="100" w:before="200"/>
      </w:pPr>
      <w:r>
        <w:rPr>
          <w:rFonts w:ascii="Arial" w:cs="Arial" w:eastAsia="Arial" w:hAnsi="Arial"/>
          <w:b/>
          <w:bCs/>
          <w:color w:val="0F172A"/>
          <w:sz w:val="24"/>
          <w:szCs w:val="24"/>
        </w:rPr>
        <w:t xml:space="preserve">7.2.4 Templates</w:t>
      </w:r>
    </w:p>
    <w:p>
      <w:pPr>
        <w:spacing w:after="80" w:before="80" w:line="300"/>
      </w:pPr>
      <w:r>
        <w:rPr>
          <w:rFonts w:ascii="Arial" w:cs="Arial" w:eastAsia="Arial" w:hAnsi="Arial"/>
          <w:color w:val="0F172A"/>
          <w:sz w:val="22"/>
          <w:szCs w:val="22"/>
        </w:rPr>
        <w:t xml:space="preserve">Dead zone template:</w:t>
      </w:r>
    </w:p>
    <w:p>
      <w:pPr>
        <w:shd w:fill="F8FAFC" w:val="clear"/>
        <w:spacing w:after="80" w:before="80" w:line="280"/>
      </w:pPr>
      <w:r>
        <w:rPr>
          <w:rFonts w:ascii="Courier New" w:cs="Courier New" w:eastAsia="Courier New" w:hAnsi="Courier New"/>
          <w:color w:val="0F172A"/>
          <w:sz w:val="20"/>
          <w:szCs w:val="20"/>
        </w:rPr>
        <w:t xml:space="preserve">Headline: "{days_label}, {hour_range_label}"
           e.g., "Tue-Thu, 2-4 PM"
Subhead:  "Flat zone — avg {covers_avg} covers/hour
            vs {comparison_anchor_value} for {comparison_anchor_label}."
           e.g., "Flat zone — avg 22 covers/hour vs 68 for Fri same hour."
Action:   "Run {time_segment} promo"</w:t>
      </w:r>
    </w:p>
    <w:p>
      <w:pPr>
        <w:spacing w:after="80" w:before="80" w:line="300"/>
      </w:pPr>
      <w:r>
        <w:rPr>
          <w:rFonts w:ascii="Arial" w:cs="Arial" w:eastAsia="Arial" w:hAnsi="Arial"/>
          <w:color w:val="0F172A"/>
          <w:sz w:val="22"/>
          <w:szCs w:val="22"/>
        </w:rPr>
        <w:t xml:space="preserve">Peak hour template:</w:t>
      </w:r>
    </w:p>
    <w:p>
      <w:pPr>
        <w:shd w:fill="F8FAFC" w:val="clear"/>
        <w:spacing w:after="80" w:before="80" w:line="280"/>
      </w:pPr>
      <w:r>
        <w:rPr>
          <w:rFonts w:ascii="Courier New" w:cs="Courier New" w:eastAsia="Courier New" w:hAnsi="Courier New"/>
          <w:color w:val="0F172A"/>
          <w:sz w:val="20"/>
          <w:szCs w:val="20"/>
        </w:rPr>
        <w:t xml:space="preserve">Headline:  "{day} {hour_range}"
            e.g., "Sat 12-1 PM"
Stat:      "{covers_avg} covers/hr +{magnitude_pct}% vs avg"
            e.g., "98 covers/hr +28% vs avg"</w:t>
      </w:r>
    </w:p>
    <w:p>
      <w:pPr>
        <w:spacing w:after="80" w:before="80" w:line="300"/>
      </w:pPr>
      <w:r>
        <w:rPr>
          <w:rFonts w:ascii="Arial" w:cs="Arial" w:eastAsia="Arial" w:hAnsi="Arial"/>
          <w:color w:val="0F172A"/>
          <w:sz w:val="22"/>
          <w:szCs w:val="22"/>
        </w:rPr>
        <w:t xml:space="preserve">Lock 11.111 cuts the staffing observation line from peak hour callouts in v1 (requires staffing data the architecture doesn't capture). The card shows just metrics + delta. Phase 2 path: when staffing data exists, the templated narrative extends.</w:t>
      </w:r>
    </w:p>
    <w:p>
      <w:pPr>
        <w:pStyle w:val="Heading2"/>
        <w:spacing w:after="120" w:before="280"/>
      </w:pPr>
      <w:r>
        <w:rPr>
          <w:rFonts w:ascii="Arial" w:cs="Arial" w:eastAsia="Arial" w:hAnsi="Arial"/>
          <w:b/>
          <w:bCs/>
          <w:color w:val="0F172A"/>
          <w:sz w:val="28"/>
          <w:szCs w:val="28"/>
        </w:rPr>
        <w:t xml:space="preserve">7.3 Location enrichment — opt-in via Google Places</w:t>
      </w:r>
    </w:p>
    <w:p>
      <w:pPr>
        <w:spacing w:after="80" w:before="80" w:line="300"/>
      </w:pPr>
      <w:r>
        <w:rPr>
          <w:rFonts w:ascii="Arial" w:cs="Arial" w:eastAsia="Arial" w:hAnsi="Arial"/>
          <w:color w:val="0F172A"/>
          <w:sz w:val="22"/>
          <w:szCs w:val="22"/>
        </w:rPr>
        <w:t xml:space="preserve">Locks 11.112–11.125. Path 2 (full geographic enrichment) but opt-in per tenant. Default OFF; tenant explicitly enables in Settings → Privacy &amp; Data.</w:t>
      </w:r>
    </w:p>
    <w:p>
      <w:pPr>
        <w:pStyle w:val="Heading3"/>
        <w:spacing w:after="100" w:before="200"/>
      </w:pPr>
      <w:r>
        <w:rPr>
          <w:rFonts w:ascii="Arial" w:cs="Arial" w:eastAsia="Arial" w:hAnsi="Arial"/>
          <w:b/>
          <w:bCs/>
          <w:color w:val="0F172A"/>
          <w:sz w:val="24"/>
          <w:szCs w:val="24"/>
        </w:rPr>
        <w:t xml:space="preserve">7.3.1 tenant_location_context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Column</w:t>
            </w:r>
          </w:p>
        </w:tc>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Type</w:t>
            </w:r>
          </w:p>
        </w:tc>
        <w:tc>
          <w:tcPr>
            <w:tcW w:type="dxa" w:w="51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context_id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UUIDv7 PK</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Unique identifier</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 T1 scope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poi_type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office_building / school / hotel / transit_station / residential_complex / retail_district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poi_name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TEXT</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e.g., "MaRS Discovery District"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distance_meters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INTEGER</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Distance from tenant location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confidence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DECIMAL</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Google Places match confidence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captured_at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enrichment ran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source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google_places / future_sources</w:t>
            </w:r>
          </w:p>
        </w:tc>
      </w:tr>
    </w:tbl>
    <w:p>
      <w:pPr>
        <w:pStyle w:val="Heading3"/>
        <w:spacing w:after="100" w:before="200"/>
      </w:pPr>
      <w:r>
        <w:rPr>
          <w:rFonts w:ascii="Arial" w:cs="Arial" w:eastAsia="Arial" w:hAnsi="Arial"/>
          <w:b/>
          <w:bCs/>
          <w:color w:val="0F172A"/>
          <w:sz w:val="24"/>
          <w:szCs w:val="24"/>
        </w:rPr>
        <w:t xml:space="preserve">7.3.2 Lock 9.63 superseded — external_api_usage generalized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11.118 supersedes Lock 9.63. </w:t>
            </w:r>
            <w:r>
              <w:rPr>
                <w:rFonts w:ascii="Arial" w:cs="Arial" w:eastAsia="Arial" w:hAnsi="Arial"/>
                <w:color w:val="0F172A"/>
                <w:sz w:val="22"/>
                <w:szCs w:val="22"/>
              </w:rPr>
              <w:t xml:space="preserve">anthropic_usage table is generalized to external_api_usage covering Anthropic + Google Places + future external paid APIs. Schema includes provider (enum), surface (TEXT, varies by provider), units_consumed (decimal — tokens for Anthropic, requests for Google Places), cost_cents, request_id, timestamp. Tenant-scoped + RLS T1. Retention 24 months for per-call rows + indefinite daily aggregates. Lock 9.63's anthropic_usage is the original case; external_api_usage generalizes.</w:t>
            </w:r>
          </w:p>
        </w:tc>
      </w:tr>
    </w:tbl>
    <w:p>
      <w:pPr>
        <w:pStyle w:val="Heading3"/>
        <w:spacing w:after="100" w:before="200"/>
      </w:pPr>
      <w:r>
        <w:rPr>
          <w:rFonts w:ascii="Arial" w:cs="Arial" w:eastAsia="Arial" w:hAnsi="Arial"/>
          <w:b/>
          <w:bCs/>
          <w:color w:val="0F172A"/>
          <w:sz w:val="24"/>
          <w:szCs w:val="24"/>
        </w:rPr>
        <w:t xml:space="preserve">7.3.3 POI relevance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Time block</w:t>
            </w:r>
          </w:p>
        </w:tc>
        <w:tc>
          <w:tcPr>
            <w:tcW w:type="dxa" w:w="65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Most relevant POI types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 AM - 2 PM</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office_building, school</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 PM - 5 PM</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school, residential_complex</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 PM - 8 PM</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office_building (after-work), residential_complex</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 PM - 11 PM</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residential_complex, transit_station</w:t>
            </w:r>
          </w:p>
        </w:tc>
      </w:tr>
    </w:tbl>
    <w:p>
      <w:pPr>
        <w:spacing w:after="80" w:before="80" w:line="300"/>
      </w:pPr>
      <w:r>
        <w:rPr>
          <w:rFonts w:ascii="Arial" w:cs="Arial" w:eastAsia="Arial" w:hAnsi="Arial"/>
          <w:color w:val="0F172A"/>
          <w:sz w:val="22"/>
          <w:szCs w:val="22"/>
        </w:rPr>
        <w:t xml:space="preserve">Weekday vs weekend modifies (offices weight lower on weekends). Mapping lives in code, version-tested.</w:t>
      </w:r>
    </w:p>
    <w:p>
      <w:pPr>
        <w:pStyle w:val="Heading3"/>
        <w:spacing w:after="100" w:before="200"/>
      </w:pPr>
      <w:r>
        <w:rPr>
          <w:rFonts w:ascii="Arial" w:cs="Arial" w:eastAsia="Arial" w:hAnsi="Arial"/>
          <w:b/>
          <w:bCs/>
          <w:color w:val="0F172A"/>
          <w:sz w:val="24"/>
          <w:szCs w:val="24"/>
        </w:rPr>
        <w:t xml:space="preserve">7.3.4 Geographic enrichment job</w:t>
      </w:r>
    </w:p>
    <w:p>
      <w:pPr>
        <w:spacing w:after="80" w:before="80" w:line="300"/>
      </w:pPr>
      <w:r>
        <w:rPr>
          <w:rFonts w:ascii="Arial" w:cs="Arial" w:eastAsia="Arial" w:hAnsi="Arial"/>
          <w:color w:val="0F172A"/>
          <w:sz w:val="22"/>
          <w:szCs w:val="22"/>
        </w:rPr>
        <w:t xml:space="preserve">Runs once when tenant enables the feature. Calls Google Places API for nearby POIs within 500m of tenant's geocoded coordinates. Filters to relevant POI types. Writes to tenant_location_context. Idempotent — re-running produces same results given same coordinates. Re-runnable annually or on-demand from Settings.</w:t>
      </w:r>
    </w:p>
    <w:p>
      <w:pPr>
        <w:pStyle w:val="Heading3"/>
        <w:spacing w:after="100" w:before="200"/>
      </w:pPr>
      <w:r>
        <w:rPr>
          <w:rFonts w:ascii="Arial" w:cs="Arial" w:eastAsia="Arial" w:hAnsi="Arial"/>
          <w:b/>
          <w:bCs/>
          <w:color w:val="0F172A"/>
          <w:sz w:val="24"/>
          <w:szCs w:val="24"/>
        </w:rPr>
        <w:t xml:space="preserve">7.3.5 Cost estimate</w:t>
      </w:r>
    </w:p>
    <w:p>
      <w:pPr>
        <w:spacing w:after="80" w:before="80" w:line="300"/>
      </w:pPr>
      <w:r>
        <w:rPr>
          <w:rFonts w:ascii="Arial" w:cs="Arial" w:eastAsia="Arial" w:hAnsi="Arial"/>
          <w:color w:val="0F172A"/>
          <w:sz w:val="22"/>
          <w:szCs w:val="22"/>
        </w:rPr>
        <w:t xml:space="preserve">Per-tenant: one Place Search + 5-15 Place Details calls = ~$0.10-0.30 one-time per tenant who opts in. Recurring: only if tenant moves locations or owner re-runs the job. Annual recurring estimate negligible. Per-tenant cost ceiling for v1: $0.50.</w:t>
      </w:r>
    </w:p>
    <w:p>
      <w:pPr>
        <w:pStyle w:val="Heading2"/>
        <w:spacing w:after="120" w:before="280"/>
      </w:pPr>
      <w:r>
        <w:rPr>
          <w:rFonts w:ascii="Arial" w:cs="Arial" w:eastAsia="Arial" w:hAnsi="Arial"/>
          <w:b/>
          <w:bCs/>
          <w:color w:val="0F172A"/>
          <w:sz w:val="28"/>
          <w:szCs w:val="28"/>
        </w:rPr>
        <w:t xml:space="preserve">7.4 Weather sensitivity correlations</w:t>
      </w:r>
    </w:p>
    <w:p>
      <w:pPr>
        <w:spacing w:after="80" w:before="80" w:line="300"/>
      </w:pPr>
      <w:r>
        <w:rPr>
          <w:rFonts w:ascii="Arial" w:cs="Arial" w:eastAsia="Arial" w:hAnsi="Arial"/>
          <w:color w:val="0F172A"/>
          <w:sz w:val="22"/>
          <w:szCs w:val="22"/>
        </w:rPr>
        <w:t xml:space="preserve">Locks 11.126–11.137. Approach C: pre-defined correlation set with applicability filtering and explicit "collecting data" state.</w:t>
      </w:r>
    </w:p>
    <w:p>
      <w:pPr>
        <w:pStyle w:val="Heading3"/>
        <w:spacing w:after="100" w:before="200"/>
      </w:pPr>
      <w:r>
        <w:rPr>
          <w:rFonts w:ascii="Arial" w:cs="Arial" w:eastAsia="Arial" w:hAnsi="Arial"/>
          <w:b/>
          <w:bCs/>
          <w:color w:val="0F172A"/>
          <w:sz w:val="24"/>
          <w:szCs w:val="24"/>
        </w:rPr>
        <w:t xml:space="preserve">7.4.1 v1 correlation set</w:t>
      </w:r>
    </w:p>
    <w:p>
      <w:pPr>
        <w:spacing w:after="80" w:before="80" w:line="300"/>
      </w:pPr>
      <w:r>
        <w:rPr>
          <w:rFonts w:ascii="Arial" w:cs="Arial" w:eastAsia="Arial" w:hAnsi="Arial"/>
          <w:color w:val="0F172A"/>
          <w:sz w:val="22"/>
          <w:szCs w:val="22"/>
        </w:rPr>
        <w:t xml:space="preserve">Five cells in v1: rain × dine-in (volume change), rain × delivery (volume change), heat ≥28°C × patio (volume change), snow × overall (volume change), cold ≤-5°C × dine-in (volume change). Set is reviewable per quarter based on owner usage data.</w:t>
      </w:r>
    </w:p>
    <w:p>
      <w:pPr>
        <w:pStyle w:val="Heading3"/>
        <w:spacing w:after="100" w:before="200"/>
      </w:pPr>
      <w:r>
        <w:rPr>
          <w:rFonts w:ascii="Arial" w:cs="Arial" w:eastAsia="Arial" w:hAnsi="Arial"/>
          <w:b/>
          <w:bCs/>
          <w:color w:val="0F172A"/>
          <w:sz w:val="24"/>
          <w:szCs w:val="24"/>
        </w:rPr>
        <w:t xml:space="preserve">7.4.2 Per-tenant feature flags</w:t>
      </w:r>
    </w:p>
    <w:p>
      <w:pPr>
        <w:pStyle w:val="ListParagraph"/>
        <w:numPr>
          <w:ilvl w:val="0"/>
          <w:numId w:val="2"/>
        </w:numPr>
        <w:spacing w:after="60" w:before="60" w:line="300"/>
      </w:pPr>
      <w:r>
        <w:rPr>
          <w:rFonts w:ascii="Arial" w:cs="Arial" w:eastAsia="Arial" w:hAnsi="Arial"/>
          <w:b/>
          <w:bCs/>
          <w:color w:val="0F172A"/>
          <w:sz w:val="22"/>
          <w:szCs w:val="22"/>
        </w:rPr>
        <w:t xml:space="preserve">has_patio: </w:t>
      </w:r>
      <w:r>
        <w:rPr>
          <w:rFonts w:ascii="Arial" w:cs="Arial" w:eastAsia="Arial" w:hAnsi="Arial"/>
          <w:color w:val="0F172A"/>
          <w:sz w:val="22"/>
          <w:szCs w:val="22"/>
        </w:rPr>
        <w:t xml:space="preserve">BOOL on tenants table; default NULL=unknown; collected via onboarding question "Does your restaurant have outdoor seating (patio)?"</w:t>
      </w:r>
    </w:p>
    <w:p>
      <w:pPr>
        <w:pStyle w:val="ListParagraph"/>
        <w:numPr>
          <w:ilvl w:val="0"/>
          <w:numId w:val="2"/>
        </w:numPr>
        <w:spacing w:after="60" w:before="60" w:line="300"/>
      </w:pPr>
      <w:r>
        <w:rPr>
          <w:rFonts w:ascii="Arial" w:cs="Arial" w:eastAsia="Arial" w:hAnsi="Arial"/>
          <w:b/>
          <w:bCs/>
          <w:color w:val="0F172A"/>
          <w:sz w:val="22"/>
          <w:szCs w:val="22"/>
        </w:rPr>
        <w:t xml:space="preserve">has_delivery_meaningful: </w:t>
      </w:r>
      <w:r>
        <w:rPr>
          <w:rFonts w:ascii="Arial" w:cs="Arial" w:eastAsia="Arial" w:hAnsi="Arial"/>
          <w:color w:val="0F172A"/>
          <w:sz w:val="22"/>
          <w:szCs w:val="22"/>
        </w:rPr>
        <w:t xml:space="preserve">computed at query time. Delivery channels (doordash + ubereats + skip_the_dishes) combined ≥5% of revenue means "meaningful."</w:t>
      </w:r>
    </w:p>
    <w:p>
      <w:pPr>
        <w:pStyle w:val="Heading3"/>
        <w:spacing w:after="100" w:before="200"/>
      </w:pPr>
      <w:r>
        <w:rPr>
          <w:rFonts w:ascii="Arial" w:cs="Arial" w:eastAsia="Arial" w:hAnsi="Arial"/>
          <w:b/>
          <w:bCs/>
          <w:color w:val="0F172A"/>
          <w:sz w:val="24"/>
          <w:szCs w:val="24"/>
        </w:rPr>
        <w:t xml:space="preserve">7.4.3 Correlation computation</w:t>
      </w:r>
    </w:p>
    <w:p>
      <w:pPr>
        <w:shd w:fill="F8FAFC" w:val="clear"/>
        <w:spacing w:after="80" w:before="80" w:line="280"/>
      </w:pPr>
      <w:r>
        <w:rPr>
          <w:rFonts w:ascii="Courier New" w:cs="Courier New" w:eastAsia="Courier New" w:hAnsi="Courier New"/>
          <w:color w:val="0F172A"/>
          <w:sz w:val="20"/>
          <w:szCs w:val="20"/>
        </w:rPr>
        <w:t xml:space="preserve">For each (weather_condition, channel) pair:
  Query trailing 12 weeks of sales joined to weather_observations
    by tenant location and date.
  days_with    = days where weather_condition holds
  days_without = days where it doesn't
  avg_with    = mean(covers on days_with)
  avg_without = mean(covers on days_without)
  magnitude_pct = (avg_with - avg_without) / avg_without × 100
  p_value = Welch's t-test on the two distributions
           (unequal variance assumption)</w:t>
      </w:r>
    </w:p>
    <w:p>
      <w:pPr>
        <w:pStyle w:val="Heading3"/>
        <w:spacing w:after="100" w:before="200"/>
      </w:pPr>
      <w:r>
        <w:rPr>
          <w:rFonts w:ascii="Arial" w:cs="Arial" w:eastAsia="Arial" w:hAnsi="Arial"/>
          <w:b/>
          <w:bCs/>
          <w:color w:val="0F172A"/>
          <w:sz w:val="24"/>
          <w:szCs w:val="24"/>
        </w:rPr>
        <w:t xml:space="preserve">7.4.4 Cell rendering decision tree</w:t>
      </w:r>
    </w:p>
    <w:p>
      <w:pPr>
        <w:spacing w:after="80" w:before="80" w:line="300"/>
      </w:pPr>
      <w:r>
        <w:rPr>
          <w:rFonts w:ascii="Arial" w:cs="Arial" w:eastAsia="Arial" w:hAnsi="Arial"/>
          <w:color w:val="0F172A"/>
          <w:sz w:val="22"/>
          <w:szCs w:val="22"/>
        </w:rPr>
        <w:t xml:space="preserve">Evaluated nightly per cell:</w:t>
      </w:r>
    </w:p>
    <w:p>
      <w:pPr>
        <w:pStyle w:val="ListParagraph"/>
        <w:numPr>
          <w:ilvl w:val="0"/>
          <w:numId w:val="2"/>
        </w:numPr>
        <w:spacing w:after="60" w:before="60" w:line="300"/>
      </w:pPr>
      <w:r>
        <w:rPr>
          <w:rFonts w:ascii="Arial" w:cs="Arial" w:eastAsia="Arial" w:hAnsi="Arial"/>
          <w:b/>
          <w:bCs/>
          <w:color w:val="0F172A"/>
          <w:sz w:val="22"/>
          <w:szCs w:val="22"/>
        </w:rPr>
        <w:t xml:space="preserve">1. Applicability check: </w:t>
      </w:r>
      <w:r>
        <w:rPr>
          <w:rFonts w:ascii="Arial" w:cs="Arial" w:eastAsia="Arial" w:hAnsi="Arial"/>
          <w:color w:val="0F172A"/>
          <w:sz w:val="22"/>
          <w:szCs w:val="22"/>
        </w:rPr>
        <w:t xml:space="preserve">Does this correlation apply to this tenant? (Patio cell needs has_patio=true; delivery cell needs has_delivery_meaningful=true.) → If no, hide cell entirely.</w:t>
      </w:r>
    </w:p>
    <w:p>
      <w:pPr>
        <w:pStyle w:val="ListParagraph"/>
        <w:numPr>
          <w:ilvl w:val="0"/>
          <w:numId w:val="2"/>
        </w:numPr>
        <w:spacing w:after="60" w:before="60" w:line="300"/>
      </w:pPr>
      <w:r>
        <w:rPr>
          <w:rFonts w:ascii="Arial" w:cs="Arial" w:eastAsia="Arial" w:hAnsi="Arial"/>
          <w:b/>
          <w:bCs/>
          <w:color w:val="0F172A"/>
          <w:sz w:val="22"/>
          <w:szCs w:val="22"/>
        </w:rPr>
        <w:t xml:space="preserve">2. Sample size check: </w:t>
      </w:r>
      <w:r>
        <w:rPr>
          <w:rFonts w:ascii="Arial" w:cs="Arial" w:eastAsia="Arial" w:hAnsi="Arial"/>
          <w:color w:val="0F172A"/>
          <w:sz w:val="22"/>
          <w:szCs w:val="22"/>
        </w:rPr>
        <w:t xml:space="preserve">Are there sufficient days on each side? (≥8 days meeting condition AND ≥8 days not meeting condition over 12 weeks.) → If no, render "Collecting data" state.</w:t>
      </w:r>
    </w:p>
    <w:p>
      <w:pPr>
        <w:pStyle w:val="ListParagraph"/>
        <w:numPr>
          <w:ilvl w:val="0"/>
          <w:numId w:val="2"/>
        </w:numPr>
        <w:spacing w:after="60" w:before="60" w:line="300"/>
      </w:pPr>
      <w:r>
        <w:rPr>
          <w:rFonts w:ascii="Arial" w:cs="Arial" w:eastAsia="Arial" w:hAnsi="Arial"/>
          <w:b/>
          <w:bCs/>
          <w:color w:val="0F172A"/>
          <w:sz w:val="22"/>
          <w:szCs w:val="22"/>
        </w:rPr>
        <w:t xml:space="preserve">3. Significance check: </w:t>
      </w:r>
      <w:r>
        <w:rPr>
          <w:rFonts w:ascii="Arial" w:cs="Arial" w:eastAsia="Arial" w:hAnsi="Arial"/>
          <w:color w:val="0F172A"/>
          <w:sz w:val="22"/>
          <w:szCs w:val="22"/>
        </w:rPr>
        <w:t xml:space="preserve">Is the correlation meaningful? (magnitude ≥10% absolute change AND p-value &lt; 0.10.) → If no, render "No clear pattern yet" state.</w:t>
      </w:r>
    </w:p>
    <w:p>
      <w:pPr>
        <w:pStyle w:val="ListParagraph"/>
        <w:numPr>
          <w:ilvl w:val="0"/>
          <w:numId w:val="2"/>
        </w:numPr>
        <w:spacing w:after="60" w:before="60" w:line="300"/>
      </w:pPr>
      <w:r>
        <w:rPr>
          <w:rFonts w:ascii="Arial" w:cs="Arial" w:eastAsia="Arial" w:hAnsi="Arial"/>
          <w:b/>
          <w:bCs/>
          <w:color w:val="0F172A"/>
          <w:sz w:val="22"/>
          <w:szCs w:val="22"/>
        </w:rPr>
        <w:t xml:space="preserve">4. Render: </w:t>
      </w:r>
      <w:r>
        <w:rPr>
          <w:rFonts w:ascii="Arial" w:cs="Arial" w:eastAsia="Arial" w:hAnsi="Arial"/>
          <w:color w:val="0F172A"/>
          <w:sz w:val="22"/>
          <w:szCs w:val="22"/>
        </w:rPr>
        <w:t xml:space="preserve">Otherwise, show the correlation.</w:t>
      </w:r>
    </w:p>
    <w:p>
      <w:pPr>
        <w:pStyle w:val="Heading3"/>
        <w:spacing w:after="100" w:before="200"/>
      </w:pPr>
      <w:r>
        <w:rPr>
          <w:rFonts w:ascii="Arial" w:cs="Arial" w:eastAsia="Arial" w:hAnsi="Arial"/>
          <w:b/>
          <w:bCs/>
          <w:color w:val="0F172A"/>
          <w:sz w:val="24"/>
          <w:szCs w:val="24"/>
        </w:rPr>
        <w:t xml:space="preserve">7.4.5 "Collecting data" rendering</w:t>
      </w:r>
    </w:p>
    <w:p>
      <w:pPr>
        <w:spacing w:after="80" w:before="80" w:line="300"/>
      </w:pPr>
      <w:r>
        <w:rPr>
          <w:rFonts w:ascii="Arial" w:cs="Arial" w:eastAsia="Arial" w:hAnsi="Arial"/>
          <w:color w:val="0F172A"/>
          <w:sz w:val="22"/>
          <w:szCs w:val="22"/>
        </w:rPr>
        <w:t xml:space="preserve">Same visual frame as a populated cell. Value field shows a small spinner-or-pulse icon and label "Collecting data" with subline "Results will appear after {N} more {weather_type} days" where N = 8 - days_meeting_condition_so_far. Concrete example: "Collecting data — results will appear after 3 more snow days."</w:t>
      </w:r>
    </w:p>
    <w:p>
      <w:pPr>
        <w:pStyle w:val="Heading3"/>
        <w:spacing w:after="100" w:before="200"/>
      </w:pPr>
      <w:r>
        <w:rPr>
          <w:rFonts w:ascii="Arial" w:cs="Arial" w:eastAsia="Arial" w:hAnsi="Arial"/>
          <w:b/>
          <w:bCs/>
          <w:color w:val="0F172A"/>
          <w:sz w:val="24"/>
          <w:szCs w:val="24"/>
        </w:rPr>
        <w:t xml:space="preserve">7.4.6 Source attribution — supersedes JSX placeholder</w:t>
      </w:r>
    </w:p>
    <w:p>
      <w:pPr>
        <w:spacing w:after="80" w:before="80" w:line="300"/>
      </w:pPr>
      <w:r>
        <w:rPr>
          <w:rFonts w:ascii="Arial" w:cs="Arial" w:eastAsia="Arial" w:hAnsi="Arial"/>
          <w:color w:val="0F172A"/>
          <w:sz w:val="22"/>
          <w:szCs w:val="22"/>
        </w:rPr>
        <w:t xml:space="preserve">Lock 11.133 supersedes the JSX placeholder "Pulled from Environment Canada × 14mo POS history." Real attribution: "Pulled from Open-Meteo × your last {N} months of POS history" — actual provider per Lock 9.47 + tenant-specific data depth.</w:t>
      </w:r>
    </w:p>
    <w:p>
      <w:pPr>
        <w:pStyle w:val="Heading2"/>
        <w:spacing w:after="120" w:before="280"/>
      </w:pPr>
      <w:r>
        <w:rPr>
          <w:rFonts w:ascii="Arial" w:cs="Arial" w:eastAsia="Arial" w:hAnsi="Arial"/>
          <w:b/>
          <w:bCs/>
          <w:color w:val="0F172A"/>
          <w:sz w:val="28"/>
          <w:szCs w:val="28"/>
        </w:rPr>
        <w:t xml:space="preserve">7.5 Round 11c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Heatmap aggregation: 12-week trailing window with outlier exclusion (&gt;2σ).</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Heatmap dimensions: 7 days × 16 hours, tenant-local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dayparts_heatmap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Refresh nightly via existing batch.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Outlier exclusion logic with 25%-removed safeguard.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Graceful fallback: minimum 2 weeks; sample-size labels.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Per-tenant percentile color normalization.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11.99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Selected cell revenue: real per-daypart avg ticket. SUPERSEDES JSX placeholder.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supersedes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No-operation cells (gray) distinct from low-volume cells.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Dead zones / peak hours: Approach D (variance + comparison).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Dead zone candidate logic.</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Peak hour candidate logic.</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Comparison anchor selection for dead zones.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Comparison anchor for peak hours: menu-wide hourly avg.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dayparts_callouts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Refresh nightly; replace not append.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Surfacing: top 1 of each, hide if no candidates qualify.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11.109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Dead zone narrative templates.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Peak hour narrative templates.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Staffing observation line cut for v1 (requires data not captured).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 enrichment: implemented v1 but opt-in per tenant.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Why opt-in: PIPEDA/Law 25 posture for non-essential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tenant_location_context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Geographic enrichment job: idempotent, re-runnable.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Google Places integration: tier Fast (10s timeout), reactive rate limit.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Cost estimate: ~$0.10-0.30 per opt-in tenant; $0.50 ceiling.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external_api_usage generalization. SUPERSEDES Lock 9.63.</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supersedes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11.119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Geographic context line in dead zone narrative when enabled.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POI relevance mapping per time block.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UX rendering when enrichment NOT enabled.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Settings toggle UX with consent text.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Disable handling: hard-delete tenant_location_context.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paths: Moves tab enrichment, cross-tenant POI patterns.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opt-in for external dependencies + clean disable.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Weather sensitivity: Approach C with collecting-data state.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v1 correlation set: 5 cells (rain×2, heat×patio, snow, cold).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Per-tenant feature flags: has_patio, has_delivery_meaningful.</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11.129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Correlation computation: Welch's t-test on covers distributions.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Cell rendering decision tree (4 stages).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"Collecting data" state with concrete countdown.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clear pattern yet" state for low-magnitude correlations.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Source attribution: Open-Meteo. SUPERSEDES JSX placeholder.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supersedes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weather_correlations materialized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Edge case: rare conditions transition to permanently hidden.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path for Approach B (discovery-mode correlations).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transparent collecting-data state pattern.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w:t>
            </w:r>
          </w:p>
        </w:tc>
      </w:tr>
    </w:tbl>
    <w:p>
      <w:r>
        <w:br w:type="page"/>
      </w:r>
    </w:p>
    <w:p>
      <w:pPr>
        <w:pStyle w:val="Heading1"/>
        <w:spacing w:after="160" w:before="360"/>
      </w:pPr>
      <w:r>
        <w:rPr>
          <w:rFonts w:ascii="Arial" w:cs="Arial" w:eastAsia="Arial" w:hAnsi="Arial"/>
          <w:b/>
          <w:bCs/>
          <w:color w:val="0F172A"/>
          <w:sz w:val="36"/>
          <w:szCs w:val="36"/>
        </w:rPr>
        <w:t xml:space="preserve">8. Sub-round 11d — Moves tab</w:t>
      </w:r>
    </w:p>
    <w:p>
      <w:pPr>
        <w:spacing w:after="80" w:before="80" w:line="300"/>
      </w:pPr>
      <w:r>
        <w:rPr>
          <w:rFonts w:ascii="Arial" w:cs="Arial" w:eastAsia="Arial" w:hAnsi="Arial"/>
          <w:color w:val="0F172A"/>
          <w:sz w:val="22"/>
          <w:szCs w:val="22"/>
        </w:rPr>
        <w:t xml:space="preserve">The Moves tab is the most architecturally consequential of the four. Every opportunity is the system telling the owner "do this specific thing — I project $X." That requires the strongest architectural foundations: predictive framing, deterministic computation, traceable math, empirical accuracy proof.</w:t>
      </w:r>
    </w:p>
    <w:p>
      <w:pPr>
        <w:pStyle w:val="Heading2"/>
        <w:spacing w:after="120" w:before="280"/>
      </w:pPr>
      <w:r>
        <w:rPr>
          <w:rFonts w:ascii="Arial" w:cs="Arial" w:eastAsia="Arial" w:hAnsi="Arial"/>
          <w:b/>
          <w:bCs/>
          <w:color w:val="0F172A"/>
          <w:sz w:val="28"/>
          <w:szCs w:val="28"/>
        </w:rPr>
        <w:t xml:space="preserve">8.1 Predictive framing principle</w:t>
      </w:r>
    </w:p>
    <w:p>
      <w:pPr>
        <w:spacing w:after="80" w:before="80" w:line="300"/>
      </w:pPr>
      <w:r>
        <w:rPr>
          <w:rFonts w:ascii="Arial" w:cs="Arial" w:eastAsia="Arial" w:hAnsi="Arial"/>
          <w:color w:val="0F172A"/>
          <w:sz w:val="22"/>
          <w:szCs w:val="22"/>
        </w:rPr>
        <w:t xml:space="preserve">Locks 11.138–11.143. Every projection on the Moves tab is rendered with explicit conditional language framing it as a system prediction, not a stated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Templates use first-person predictive language: </w:t>
            </w:r>
            <w:r>
              <w:rPr>
                <w:rFonts w:ascii="Arial" w:cs="Arial" w:eastAsia="Arial" w:hAnsi="Arial"/>
                <w:color w:val="0F172A"/>
                <w:sz w:val="22"/>
                <w:szCs w:val="22"/>
              </w:rPr>
              <w:t xml:space="preserve">"In my predictions, pushing poutine on Thursday nights would lift ~$17.6k/yr" rather than "Push poutine on Thursday nights · +$17.6k/yr." Or: "If you raise Shawarma Poutine $14 → $15, I expect ~+$3.2k/yr at 6% demand risk" rather than "Raise Shawarma Poutine $14 → $15 · +$3.2k/yr."</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Tilde (~) prefix on projected numbers </w:t>
            </w:r>
            <w:r>
              <w:rPr>
                <w:rFonts w:ascii="Arial" w:cs="Arial" w:eastAsia="Arial" w:hAnsi="Arial"/>
                <w:color w:val="0F172A"/>
                <w:sz w:val="22"/>
                <w:szCs w:val="22"/>
              </w:rPr>
              <w:t xml:space="preserve">visually signals estimate vs. observation. "~$17.6k/yr" reads as estimate; "$6,592 (+$2.1k)" on Star/Kill cards is observed-this-week, no tilde.</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"Show math" button bridges projection and observation. </w:t>
            </w:r>
            <w:r>
              <w:rPr>
                <w:rFonts w:ascii="Arial" w:cs="Arial" w:eastAsia="Arial" w:hAnsi="Arial"/>
                <w:color w:val="0F172A"/>
                <w:sz w:val="22"/>
                <w:szCs w:val="22"/>
              </w:rPr>
              <w:t xml:space="preserve">Tapping reveals the deterministic computation backing the projection — owner sees data → assumption → math chain that produced the estimate.</w:t>
            </w:r>
          </w:p>
        </w:tc>
      </w:tr>
    </w:tbl>
    <w:p>
      <w:pPr>
        <w:pStyle w:val="Heading2"/>
        <w:spacing w:after="120" w:before="280"/>
      </w:pPr>
      <w:r>
        <w:rPr>
          <w:rFonts w:ascii="Arial" w:cs="Arial" w:eastAsia="Arial" w:hAnsi="Arial"/>
          <w:b/>
          <w:bCs/>
          <w:color w:val="0F172A"/>
          <w:sz w:val="28"/>
          <w:szCs w:val="28"/>
        </w:rPr>
        <w:t xml:space="preserve">8.2 Top summary card — supersedes JSX placeholder</w:t>
      </w:r>
    </w:p>
    <w:p>
      <w:pPr>
        <w:spacing w:after="80" w:before="80" w:line="300"/>
      </w:pPr>
      <w:r>
        <w:rPr>
          <w:rFonts w:ascii="Arial" w:cs="Arial" w:eastAsia="Arial" w:hAnsi="Arial"/>
          <w:color w:val="0F172A"/>
          <w:sz w:val="22"/>
          <w:szCs w:val="22"/>
        </w:rPr>
        <w:t xml:space="preserve">Lock 11.142 supersedes the JSX placeholder. Built JSX shows: "IF YOU RUN ALL 6 MOVES → +$40.5k/year" with subline "Revenue uplift at current cover trends. Based on peer-cohort benchmarks (28 GTA cafés)."</w:t>
      </w:r>
    </w:p>
    <w:p>
      <w:pPr>
        <w:spacing w:after="80" w:before="80" w:line="300"/>
      </w:pPr>
      <w:r>
        <w:rPr>
          <w:rFonts w:ascii="Arial" w:cs="Arial" w:eastAsia="Arial" w:hAnsi="Arial"/>
          <w:color w:val="0F172A"/>
          <w:sz w:val="22"/>
          <w:szCs w:val="22"/>
        </w:rPr>
        <w:t xml:space="preserve">Two changes for v1:</w:t>
      </w:r>
    </w:p>
    <w:p>
      <w:pPr>
        <w:pStyle w:val="ListParagraph"/>
        <w:numPr>
          <w:ilvl w:val="0"/>
          <w:numId w:val="2"/>
        </w:numPr>
        <w:spacing w:after="60" w:before="60" w:line="300"/>
      </w:pPr>
      <w:r>
        <w:rPr>
          <w:rFonts w:ascii="Arial" w:cs="Arial" w:eastAsia="Arial" w:hAnsi="Arial"/>
          <w:b/>
          <w:bCs/>
          <w:color w:val="0F172A"/>
          <w:sz w:val="22"/>
          <w:szCs w:val="22"/>
        </w:rPr>
        <w:t xml:space="preserve">Keep </w:t>
      </w:r>
      <w:r>
        <w:rPr>
          <w:rFonts w:ascii="Arial" w:cs="Arial" w:eastAsia="Arial" w:hAnsi="Arial"/>
          <w:color w:val="0F172A"/>
          <w:sz w:val="22"/>
          <w:szCs w:val="22"/>
        </w:rPr>
        <w:t xml:space="preserve">the conditional framing — the existing "IF YOU RUN" is already correctly hedged.</w:t>
      </w:r>
    </w:p>
    <w:p>
      <w:pPr>
        <w:pStyle w:val="ListParagraph"/>
        <w:numPr>
          <w:ilvl w:val="0"/>
          <w:numId w:val="2"/>
        </w:numPr>
        <w:spacing w:after="60" w:before="60" w:line="300"/>
      </w:pPr>
      <w:r>
        <w:rPr>
          <w:rFonts w:ascii="Arial" w:cs="Arial" w:eastAsia="Arial" w:hAnsi="Arial"/>
          <w:b/>
          <w:bCs/>
          <w:color w:val="0F172A"/>
          <w:sz w:val="22"/>
          <w:szCs w:val="22"/>
        </w:rPr>
        <w:t xml:space="preserve">Cut </w:t>
      </w:r>
      <w:r>
        <w:rPr>
          <w:rFonts w:ascii="Arial" w:cs="Arial" w:eastAsia="Arial" w:hAnsi="Arial"/>
          <w:color w:val="0F172A"/>
          <w:sz w:val="22"/>
          <w:szCs w:val="22"/>
        </w:rPr>
        <w:t xml:space="preserve">the "peer-cohort benchmarks" line — implies cross-tenant data that doesn't exist in v1 (per Lock 10.45). Replace with: "ReorderOS prediction based on your last 12 weeks of sales and current trends."</w:t>
      </w:r>
    </w:p>
    <w:p>
      <w:pPr>
        <w:pStyle w:val="Heading2"/>
        <w:spacing w:after="120" w:before="280"/>
      </w:pPr>
      <w:r>
        <w:rPr>
          <w:rFonts w:ascii="Arial" w:cs="Arial" w:eastAsia="Arial" w:hAnsi="Arial"/>
          <w:b/>
          <w:bCs/>
          <w:color w:val="0F172A"/>
          <w:sz w:val="28"/>
          <w:szCs w:val="28"/>
        </w:rPr>
        <w:t xml:space="preserve">8.3 The six opportunity generators</w:t>
      </w:r>
    </w:p>
    <w:p>
      <w:pPr>
        <w:spacing w:after="80" w:before="80" w:line="300"/>
      </w:pPr>
      <w:r>
        <w:rPr>
          <w:rFonts w:ascii="Arial" w:cs="Arial" w:eastAsia="Arial" w:hAnsi="Arial"/>
          <w:color w:val="0F172A"/>
          <w:sz w:val="22"/>
          <w:szCs w:val="22"/>
        </w:rPr>
        <w:t xml:space="preserve">Locks 11.144–11.146. Each generator is a Python function with documented mathematical formula and bounded constants from industry benchmarks.</w:t>
      </w:r>
    </w:p>
    <w:p>
      <w:pPr>
        <w:pStyle w:val="Heading3"/>
        <w:spacing w:after="100" w:before="200"/>
      </w:pPr>
      <w:r>
        <w:rPr>
          <w:rFonts w:ascii="Arial" w:cs="Arial" w:eastAsia="Arial" w:hAnsi="Arial"/>
          <w:b/>
          <w:bCs/>
          <w:color w:val="0F172A"/>
          <w:sz w:val="24"/>
          <w:szCs w:val="24"/>
        </w:rPr>
        <w:t xml:space="preserve">8.3.1 Generator 1 — Time-block promo</w:t>
      </w:r>
    </w:p>
    <w:p>
      <w:pPr>
        <w:spacing w:after="80" w:before="80" w:line="300"/>
      </w:pPr>
      <w:r>
        <w:rPr>
          <w:rFonts w:ascii="Arial" w:cs="Arial" w:eastAsia="Arial" w:hAnsi="Arial"/>
          <w:color w:val="0F172A"/>
          <w:sz w:val="22"/>
          <w:szCs w:val="22"/>
        </w:rPr>
        <w:t xml:space="preserve">Trigger conditions: tenant has a menu item where ≥65% of its weekly sales concentrate on 1-2 days; a different day has a dead zone; the dead zone is during operating hours when the item is normally available.</w:t>
      </w:r>
    </w:p>
    <w:p>
      <w:pPr>
        <w:shd w:fill="F8FAFC" w:val="clear"/>
        <w:spacing w:after="80" w:before="80" w:line="280"/>
      </w:pPr>
      <w:r>
        <w:rPr>
          <w:rFonts w:ascii="Courier New" w:cs="Courier New" w:eastAsia="Courier New" w:hAnsi="Courier New"/>
          <w:color w:val="0F172A"/>
          <w:sz w:val="20"/>
          <w:szCs w:val="20"/>
        </w:rPr>
        <w:t xml:space="preserve">expected_extra_orders_per_week = 
    (peak_day_avg_orders - dead_day_avg_orders) × promo_capture_rate
projected_revenue_lift_per_year = 
    expected_extra_orders_per_week
    × item_avg_revenue
    × 52 weeks
    × discount_adjustment_factor
Where:
    promo_capture_rate = 0.40 (industry benchmark)
    discount_adjustment_factor = 1 - (discount_pct / current_price)</w:t>
      </w:r>
    </w:p>
    <w:p>
      <w:pPr>
        <w:spacing w:after="80" w:before="80" w:line="300"/>
      </w:pPr>
      <w:r>
        <w:rPr>
          <w:rFonts w:ascii="Arial" w:cs="Arial" w:eastAsia="Arial" w:hAnsi="Arial"/>
          <w:color w:val="0F172A"/>
          <w:sz w:val="22"/>
          <w:szCs w:val="22"/>
        </w:rPr>
        <w:t xml:space="preserve">Worked example for "Push poutine on Thursday nights":</w:t>
      </w:r>
    </w:p>
    <w:p>
      <w:pPr>
        <w:shd w:fill="F8FAFC" w:val="clear"/>
        <w:spacing w:after="80" w:before="80" w:line="280"/>
      </w:pPr>
      <w:r>
        <w:rPr>
          <w:rFonts w:ascii="Courier New" w:cs="Courier New" w:eastAsia="Courier New" w:hAnsi="Courier New"/>
          <w:color w:val="0F172A"/>
          <w:sz w:val="20"/>
          <w:szCs w:val="20"/>
        </w:rPr>
        <w:t xml:space="preserve">peak_day (Sat) avg = 80 orders/week
dead_day (Thu) avg = 12 orders/week
gap = 68
promo_capture_rate = 0.40
expected_extra = 27 orders/week
item_avg_revenue = $13/order
discount = $2 off
discount_adjustment_factor = 11/13 = 0.846
lift = 27 × $13 × 52 × 0.846 = ~$15.4k/yr</w:t>
      </w:r>
    </w:p>
    <w:p>
      <w:pPr>
        <w:pStyle w:val="Heading3"/>
        <w:spacing w:after="100" w:before="200"/>
      </w:pPr>
      <w:r>
        <w:rPr>
          <w:rFonts w:ascii="Arial" w:cs="Arial" w:eastAsia="Arial" w:hAnsi="Arial"/>
          <w:b/>
          <w:bCs/>
          <w:color w:val="0F172A"/>
          <w:sz w:val="24"/>
          <w:szCs w:val="24"/>
        </w:rPr>
        <w:t xml:space="preserve">8.3.2 Generator 2 — Pricing change</w:t>
      </w:r>
    </w:p>
    <w:p>
      <w:pPr>
        <w:spacing w:after="80" w:before="80" w:line="300"/>
      </w:pPr>
      <w:r>
        <w:rPr>
          <w:rFonts w:ascii="Arial" w:cs="Arial" w:eastAsia="Arial" w:hAnsi="Arial"/>
          <w:color w:val="0F172A"/>
          <w:sz w:val="22"/>
          <w:szCs w:val="22"/>
        </w:rPr>
        <w:t xml:space="preserve">Trigger conditions: item is in BCG quadrant Star or Plowhorse (high popularity); item's elasticity &lt; 1.0 (relatively inelastic); item's current price below tenant's menu-wide median for its category.</w:t>
      </w:r>
    </w:p>
    <w:p>
      <w:pPr>
        <w:shd w:fill="F8FAFC" w:val="clear"/>
        <w:spacing w:after="80" w:before="80" w:line="280"/>
      </w:pPr>
      <w:r>
        <w:rPr>
          <w:rFonts w:ascii="Courier New" w:cs="Courier New" w:eastAsia="Courier New" w:hAnsi="Courier New"/>
          <w:color w:val="0F172A"/>
          <w:sz w:val="20"/>
          <w:szCs w:val="20"/>
        </w:rPr>
        <w:t xml:space="preserve">projected_volume_at_new_price = 
    current_weekly_units × (1 - elasticity × (price_delta / current_price))
projected_weekly_revenue_new = projected_volume × new_price
projected_weekly_revenue_current = current_weekly_units × current_price
projected_annual_lift = (revenue_new - revenue_current) × 52
demand_risk_pct = elasticity × (price_delta / current_price) × 100</w:t>
      </w:r>
    </w:p>
    <w:p>
      <w:pPr>
        <w:spacing w:after="80" w:before="80" w:line="300"/>
      </w:pPr>
      <w:r>
        <w:rPr>
          <w:rFonts w:ascii="Arial" w:cs="Arial" w:eastAsia="Arial" w:hAnsi="Arial"/>
          <w:color w:val="0F172A"/>
          <w:sz w:val="22"/>
          <w:szCs w:val="22"/>
        </w:rPr>
        <w:t xml:space="preserve">Worked example for "Raise Shawarma Poutine $14 → $15":</w:t>
      </w:r>
    </w:p>
    <w:p>
      <w:pPr>
        <w:shd w:fill="F8FAFC" w:val="clear"/>
        <w:spacing w:after="80" w:before="80" w:line="280"/>
      </w:pPr>
      <w:r>
        <w:rPr>
          <w:rFonts w:ascii="Courier New" w:cs="Courier New" w:eastAsia="Courier New" w:hAnsi="Courier New"/>
          <w:color w:val="0F172A"/>
          <w:sz w:val="20"/>
          <w:szCs w:val="20"/>
        </w:rPr>
        <w:t xml:space="preserve">current_weekly_units = 80
current_price = $14, new_price = $15
per-item elasticity = 0.80 (computed from regression)
volume_at_$15 = 80 × (1 - 0.80 × (1/14)) = 80 × 0.943 = 75.4 units
weekly_revenue_new = 75.4 × $15 = $1,131
weekly_revenue_current = 80 × $14 = $1,120
annual_lift = (1131 - 1120) × 52 = ~$572/yr
demand_risk = 0.80 × (1/14) × 100 = ~5.7%</w:t>
      </w:r>
    </w:p>
    <w:p>
      <w:pPr>
        <w:pStyle w:val="Heading3"/>
        <w:spacing w:after="100" w:before="200"/>
      </w:pPr>
      <w:r>
        <w:rPr>
          <w:rFonts w:ascii="Arial" w:cs="Arial" w:eastAsia="Arial" w:hAnsi="Arial"/>
          <w:b/>
          <w:bCs/>
          <w:color w:val="0F172A"/>
          <w:sz w:val="24"/>
          <w:szCs w:val="24"/>
        </w:rPr>
        <w:t xml:space="preserve">8.3.3 Generator 3 — Weather-triggered campaign</w:t>
      </w:r>
    </w:p>
    <w:p>
      <w:pPr>
        <w:spacing w:after="80" w:before="80" w:line="300"/>
      </w:pPr>
      <w:r>
        <w:rPr>
          <w:rFonts w:ascii="Arial" w:cs="Arial" w:eastAsia="Arial" w:hAnsi="Arial"/>
          <w:color w:val="0F172A"/>
          <w:sz w:val="22"/>
          <w:szCs w:val="22"/>
        </w:rPr>
        <w:t xml:space="preserve">Trigger conditions: weather correlation is statistically meaningful (per Locks 11.126–11.137); forecast for upcoming days shows the weather condition; channel showing positive correlation has commission rate that doesn't eat the discount.</w:t>
      </w:r>
    </w:p>
    <w:p>
      <w:pPr>
        <w:shd w:fill="F8FAFC" w:val="clear"/>
        <w:spacing w:after="80" w:before="80" w:line="280"/>
      </w:pPr>
      <w:r>
        <w:rPr>
          <w:rFonts w:ascii="Courier New" w:cs="Courier New" w:eastAsia="Courier New" w:hAnsi="Courier New"/>
          <w:color w:val="0F172A"/>
          <w:sz w:val="20"/>
          <w:szCs w:val="20"/>
        </w:rPr>
        <w:t xml:space="preserve">expected_extra_channel_volume_on_event_day = 
    avg_daily_channel_orders × correlation_pct
captured_orders_per_day = expected_extra × discount_capture_rate
projected_revenue_lift_per_event_day = 
    captured_orders
    × avg_order_value
    × (1 - discount_pct - channel_commission_pct)
projected_lift_for_window = 
    projected_lift_per_event_day × forecast_event_days_in_window
Where:
    discount_capture_rate = 0.65 (industry benchmark)</w:t>
      </w:r>
    </w:p>
    <w:p>
      <w:pPr>
        <w:spacing w:after="80" w:before="80" w:line="300"/>
      </w:pPr>
      <w:r>
        <w:rPr>
          <w:rFonts w:ascii="Arial" w:cs="Arial" w:eastAsia="Arial" w:hAnsi="Arial"/>
          <w:color w:val="0F172A"/>
          <w:sz w:val="22"/>
          <w:szCs w:val="22"/>
        </w:rPr>
        <w:t xml:space="preserve">Worked example for "Rain push: delivery discount, 3 rainy days forecast":</w:t>
      </w:r>
    </w:p>
    <w:p>
      <w:pPr>
        <w:shd w:fill="F8FAFC" w:val="clear"/>
        <w:spacing w:after="80" w:before="80" w:line="280"/>
      </w:pPr>
      <w:r>
        <w:rPr>
          <w:rFonts w:ascii="Courier New" w:cs="Courier New" w:eastAsia="Courier New" w:hAnsi="Courier New"/>
          <w:color w:val="0F172A"/>
          <w:sz w:val="20"/>
          <w:szCs w:val="20"/>
        </w:rPr>
        <w:t xml:space="preserve">avg_daily_delivery_orders = 18
rain_delivery_correlation = +62%
expected extra = 18 × 0.62 = 11 orders/day
captured = 11 × 0.65 = ~7 orders/day
avg_order_value = $32; discount = 15%; commission = 25%
per_event_day_revenue = 7 × $32 × (1 - 0.15 - 0.25)
                      = 7 × $32 × 0.60 = $134
3 forecast event days → ~$402 projected this week</w:t>
      </w:r>
    </w:p>
    <w:p>
      <w:pPr>
        <w:pStyle w:val="Heading3"/>
        <w:spacing w:after="100" w:before="200"/>
      </w:pPr>
      <w:r>
        <w:rPr>
          <w:rFonts w:ascii="Arial" w:cs="Arial" w:eastAsia="Arial" w:hAnsi="Arial"/>
          <w:b/>
          <w:bCs/>
          <w:color w:val="0F172A"/>
          <w:sz w:val="24"/>
          <w:szCs w:val="24"/>
        </w:rPr>
        <w:t xml:space="preserve">8.3.4 Generator 4 — Product winback</w:t>
      </w:r>
    </w:p>
    <w:p>
      <w:pPr>
        <w:spacing w:after="80" w:before="80" w:line="300"/>
      </w:pPr>
      <w:r>
        <w:rPr>
          <w:rFonts w:ascii="Arial" w:cs="Arial" w:eastAsia="Arial" w:hAnsi="Arial"/>
          <w:color w:val="0F172A"/>
          <w:sz w:val="22"/>
          <w:szCs w:val="22"/>
        </w:rPr>
        <w:t xml:space="preserve">Trigger conditions: item was previously on menu (menu_items.deleted_at set or has explicit removed status); item had been a high-margin contributor in active period; original removal reason (if captured — Phase 2) was cost-related, OR cost driver has eased; ingredients required currently in inventory or available at reasonable prices.</w:t>
      </w:r>
    </w:p>
    <w:p>
      <w:pPr>
        <w:shd w:fill="F8FAFC" w:val="clear"/>
        <w:spacing w:after="80" w:before="80" w:line="280"/>
      </w:pPr>
      <w:r>
        <w:rPr>
          <w:rFonts w:ascii="Courier New" w:cs="Courier New" w:eastAsia="Courier New" w:hAnsi="Courier New"/>
          <w:color w:val="0F172A"/>
          <w:sz w:val="20"/>
          <w:szCs w:val="20"/>
        </w:rPr>
        <w:t xml:space="preserve">historical_weekly_revenue = 
    avg(sales_during_active_period) × historical_avg_price
projected_winback_volume = 
    historical_weekly_revenue × winback_recovery_factor
projected_annual_revenue = 
    projected_winback_volume × 52 × current_margin_pct
Where:
    winback_recovery_factor = 0.55 (industry benchmark — winbacks
                              typically recover 50-60% of original
                              volume because customer base has
                              partially turned over)</w:t>
      </w:r>
    </w:p>
    <w:p>
      <w:pPr>
        <w:spacing w:after="80" w:before="80" w:line="300"/>
      </w:pPr>
      <w:r>
        <w:rPr>
          <w:rFonts w:ascii="Arial" w:cs="Arial" w:eastAsia="Arial" w:hAnsi="Arial"/>
          <w:color w:val="0F172A"/>
          <w:sz w:val="22"/>
          <w:szCs w:val="22"/>
        </w:rPr>
        <w:t xml:space="preserve">Worked example for "Lamb Tacos winback":</w:t>
      </w:r>
    </w:p>
    <w:p>
      <w:pPr>
        <w:shd w:fill="F8FAFC" w:val="clear"/>
        <w:spacing w:after="80" w:before="80" w:line="280"/>
      </w:pPr>
      <w:r>
        <w:rPr>
          <w:rFonts w:ascii="Courier New" w:cs="Courier New" w:eastAsia="Courier New" w:hAnsi="Courier New"/>
          <w:color w:val="0F172A"/>
          <w:sz w:val="20"/>
          <w:szCs w:val="20"/>
        </w:rPr>
        <w:t xml:space="preserve">historical_weekly_revenue = $145
recovery_factor = 0.55
projected_weekly = $80
projected_annual = $80 × 52 = $4,160
cost_driver: lamb price -26% from peak
(supports the trigger condition)</w:t>
      </w:r>
    </w:p>
    <w:p>
      <w:pPr>
        <w:pStyle w:val="Heading3"/>
        <w:spacing w:after="100" w:before="200"/>
      </w:pPr>
      <w:r>
        <w:rPr>
          <w:rFonts w:ascii="Arial" w:cs="Arial" w:eastAsia="Arial" w:hAnsi="Arial"/>
          <w:b/>
          <w:bCs/>
          <w:color w:val="0F172A"/>
          <w:sz w:val="24"/>
          <w:szCs w:val="24"/>
        </w:rPr>
        <w:t xml:space="preserve">8.3.5 Generator 5 — Bundling</w:t>
      </w:r>
    </w:p>
    <w:p>
      <w:pPr>
        <w:spacing w:after="80" w:before="80" w:line="300"/>
      </w:pPr>
      <w:r>
        <w:rPr>
          <w:rFonts w:ascii="Arial" w:cs="Arial" w:eastAsia="Arial" w:hAnsi="Arial"/>
          <w:color w:val="0F172A"/>
          <w:sz w:val="22"/>
          <w:szCs w:val="22"/>
        </w:rPr>
        <w:t xml:space="preserve">Trigger conditions: one item is a Star (high popularity, high margin); other item is a Puzzle (low popularity, high margin); both items typically sold during the same daypart; combined price &lt; sum of individual prices.</w:t>
      </w:r>
    </w:p>
    <w:p>
      <w:pPr>
        <w:shd w:fill="F8FAFC" w:val="clear"/>
        <w:spacing w:after="80" w:before="80" w:line="280"/>
      </w:pPr>
      <w:r>
        <w:rPr>
          <w:rFonts w:ascii="Courier New" w:cs="Courier New" w:eastAsia="Courier New" w:hAnsi="Courier New"/>
          <w:color w:val="0F172A"/>
          <w:sz w:val="20"/>
          <w:szCs w:val="20"/>
        </w:rPr>
        <w:t xml:space="preserve">projected_extra_puzzle_volume = 
    star_weekly_units × bundle_attach_rate
projected_weekly_revenue_lift = 
    projected_extra_puzzle_volume
    × bundle_price_for_puzzle
    × puzzle_margin_pct
projected_annual_lift = projected_weekly × 52
Where:
    bundle_attach_rate = 0.22 (industry benchmark — 22% of star
                         purchasers add a bundled item when offered)</w:t>
      </w:r>
    </w:p>
    <w:p>
      <w:pPr>
        <w:pStyle w:val="Heading3"/>
        <w:spacing w:after="100" w:before="200"/>
      </w:pPr>
      <w:r>
        <w:rPr>
          <w:rFonts w:ascii="Arial" w:cs="Arial" w:eastAsia="Arial" w:hAnsi="Arial"/>
          <w:b/>
          <w:bCs/>
          <w:color w:val="0F172A"/>
          <w:sz w:val="24"/>
          <w:szCs w:val="24"/>
        </w:rPr>
        <w:t xml:space="preserve">8.3.6 Generator 6 — Dead-hour promo</w:t>
      </w:r>
    </w:p>
    <w:p>
      <w:pPr>
        <w:spacing w:after="80" w:before="80" w:line="300"/>
      </w:pPr>
      <w:r>
        <w:rPr>
          <w:rFonts w:ascii="Arial" w:cs="Arial" w:eastAsia="Arial" w:hAnsi="Arial"/>
          <w:color w:val="0F172A"/>
          <w:sz w:val="22"/>
          <w:szCs w:val="22"/>
        </w:rPr>
        <w:t xml:space="preserve">Trigger conditions: dead zone identified per Lock 11.102; gap to comparable hour ≥50% lower covers; operating hours include the dead zone; tenant has space (per Lock 11.124's geographic enrichment when enabled, or generic templates otherwise).</w:t>
      </w:r>
    </w:p>
    <w:p>
      <w:pPr>
        <w:shd w:fill="F8FAFC" w:val="clear"/>
        <w:spacing w:after="80" w:before="80" w:line="280"/>
      </w:pPr>
      <w:r>
        <w:rPr>
          <w:rFonts w:ascii="Courier New" w:cs="Courier New" w:eastAsia="Courier New" w:hAnsi="Courier New"/>
          <w:color w:val="0F172A"/>
          <w:sz w:val="20"/>
          <w:szCs w:val="20"/>
        </w:rPr>
        <w:t xml:space="preserve">gap_covers_per_hour = comparable_hour_avg - dead_hour_avg
projected_extra_covers_per_week = 
    gap_covers_per_hour
    × dead_hour_target_capture
    × hours_in_dead_zone
    × days_per_week_in_dead_zone
projected_annual_revenue = 
    projected_extra_covers_per_week
    × tenant_avg_ticket
    × 52
    × discount_adjustment
Where:
    dead_hour_target_capture = 0.30 (lower than other categories
                              because dead zones are harder to fill)</w:t>
      </w:r>
    </w:p>
    <w:p>
      <w:pPr>
        <w:pStyle w:val="Heading2"/>
        <w:spacing w:after="120" w:before="280"/>
      </w:pPr>
      <w:r>
        <w:rPr>
          <w:rFonts w:ascii="Arial" w:cs="Arial" w:eastAsia="Arial" w:hAnsi="Arial"/>
          <w:b/>
          <w:bCs/>
          <w:color w:val="0F172A"/>
          <w:sz w:val="28"/>
          <w:szCs w:val="28"/>
        </w:rPr>
        <w:t xml:space="preserve">8.4 Summary of bounded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Constant</w:t>
            </w:r>
          </w:p>
        </w:tc>
        <w:tc>
          <w:tcPr>
            <w:tcW w:type="dxa" w:w="1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c>
          <w:tcPr>
            <w:tcW w:type="dxa" w:w="5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Source/justification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promo_capture_rate</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0.40</w:t>
            </w:r>
          </w:p>
        </w:tc>
        <w:tc>
          <w:tcPr>
            <w:tcW w:type="dxa" w:w="5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Industry benchmark: promos capture 40% of the gap between dead and peak</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discount_capture_rate</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0.65</w:t>
            </w:r>
          </w:p>
        </w:tc>
        <w:tc>
          <w:tcPr>
            <w:tcW w:type="dxa" w:w="5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Industry benchmark: ~2/3 of customers respond to discounts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winback_recovery_factor</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0.55</w:t>
            </w:r>
          </w:p>
        </w:tc>
        <w:tc>
          <w:tcPr>
            <w:tcW w:type="dxa" w:w="5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Industry benchmark: 50-60% recovery (customer base partially turned over)</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bundle_attach_rate</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0.22</w:t>
            </w:r>
          </w:p>
        </w:tc>
        <w:tc>
          <w:tcPr>
            <w:tcW w:type="dxa" w:w="5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Industry benchmark: 22% of star purchasers add bundled item when offered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dead_hour_target_capture</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0.30</w:t>
            </w:r>
          </w:p>
        </w:tc>
        <w:tc>
          <w:tcPr>
            <w:tcW w:type="dxa" w:w="5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Lower than other categories — dead zones are harder to fill</w:t>
            </w:r>
          </w:p>
        </w:tc>
      </w:tr>
    </w:tbl>
    <w:p>
      <w:pPr>
        <w:spacing w:after="80" w:before="80" w:line="300"/>
      </w:pPr>
      <w:r>
        <w:rPr>
          <w:rFonts w:ascii="Arial" w:cs="Arial" w:eastAsia="Arial" w:hAnsi="Arial"/>
          <w:color w:val="0F172A"/>
          <w:sz w:val="22"/>
          <w:szCs w:val="22"/>
        </w:rPr>
        <w:t xml:space="preserve">Each constant is documented with source/justification in code comments. Reviewable per quarter as beta data shows actual capture rates for tenants who run these moves. Phase 2 path: per-tenant calibration of these constants from observed historical capture rates (Lock 11.151).</w:t>
      </w:r>
    </w:p>
    <w:p>
      <w:pPr>
        <w:pStyle w:val="Heading2"/>
        <w:spacing w:after="120" w:before="280"/>
      </w:pPr>
      <w:r>
        <w:rPr>
          <w:rFonts w:ascii="Arial" w:cs="Arial" w:eastAsia="Arial" w:hAnsi="Arial"/>
          <w:b/>
          <w:bCs/>
          <w:color w:val="0F172A"/>
          <w:sz w:val="28"/>
          <w:szCs w:val="28"/>
        </w:rPr>
        <w:t xml:space="preserve">8.5 Confidence — sensitivity range, not a single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11.163 supersedes Lock 11.147. </w:t>
            </w:r>
            <w:r>
              <w:rPr>
                <w:rFonts w:ascii="Arial" w:cs="Arial" w:eastAsia="Arial" w:hAnsi="Arial"/>
                <w:color w:val="0F172A"/>
                <w:sz w:val="22"/>
                <w:szCs w:val="22"/>
              </w:rPr>
              <w:t xml:space="preserve">Earlier lock specified "confidence is bounded 50-95%" without specifying the actual mathematical computation. That was hand-waving. The corrected lock: confidence rendering is not a single percentage. Instead, projection shows (a) tilde-prefixed point estimate per Lock 11.140, (b) sensitivity range computed from the 1-2 highest-uncertainty inputs, (c) data quality tier label inheriting from Lock 11.74's tier system.</w:t>
            </w:r>
          </w:p>
        </w:tc>
      </w:tr>
    </w:tbl>
    <w:p>
      <w:pPr>
        <w:spacing w:after="80" w:before="80" w:line="300"/>
      </w:pPr>
      <w:r>
        <w:rPr>
          <w:rFonts w:ascii="Arial" w:cs="Arial" w:eastAsia="Arial" w:hAnsi="Arial"/>
          <w:color w:val="0F172A"/>
          <w:sz w:val="22"/>
          <w:szCs w:val="22"/>
        </w:rPr>
        <w:t xml:space="preserve">Sensitivity range computation: for each opportunity, identify the 1-2 highest-uncertainty inputs (typically elasticity for pricing changes, correlation magnitude for weather promos, capture rate for time-block promos). Compute projection at the 25th and 75th percentile of those inputs' uncertainty distribution. Display the resulting range. Implementation: precomputed lookup table mapping each formula's primary uncertainty driver to its bounds, multiplied through the formula.</w:t>
      </w:r>
    </w:p>
    <w:p>
      <w:pPr>
        <w:spacing w:after="80" w:before="80" w:line="300"/>
      </w:pPr>
      <w:r>
        <w:rPr>
          <w:rFonts w:ascii="Arial" w:cs="Arial" w:eastAsia="Arial" w:hAnsi="Arial"/>
          <w:color w:val="0F172A"/>
          <w:sz w:val="22"/>
          <w:szCs w:val="22"/>
        </w:rPr>
        <w:t xml:space="preserve">Data quality tier label: inherits from Lock 11.74's tier system extended for opportunity contexts. Per-item-data tier (highest), tenant-menu-wide tier, industry-default tier (lowest). Tier shown as a small inline label with color: teal "per-item data" / amber "your menu's average" / gray "industry default."</w:t>
      </w:r>
    </w:p>
    <w:p>
      <w:pPr>
        <w:spacing w:after="80" w:before="80" w:line="300"/>
      </w:pPr>
      <w:r>
        <w:rPr>
          <w:rFonts w:ascii="Arial" w:cs="Arial" w:eastAsia="Arial" w:hAnsi="Arial"/>
          <w:color w:val="0F172A"/>
          <w:sz w:val="22"/>
          <w:szCs w:val="22"/>
        </w:rPr>
        <w:t xml:space="preserve">Empirical accuracy track record (Lock 11.166): once tenant has 5+ completed_observed plans, surface "Your last N plans: projections within X% of outcomes on average" — becomes the durable confidence signal over time. Phase 2: Monte Carlo simulation if the simple sensitivity range systematically under-or-overstates real uncertainty.</w:t>
      </w:r>
    </w:p>
    <w:p>
      <w:pPr>
        <w:pStyle w:val="Heading2"/>
        <w:spacing w:after="120" w:before="280"/>
      </w:pPr>
      <w:r>
        <w:rPr>
          <w:rFonts w:ascii="Arial" w:cs="Arial" w:eastAsia="Arial" w:hAnsi="Arial"/>
          <w:b/>
          <w:bCs/>
          <w:color w:val="0F172A"/>
          <w:sz w:val="28"/>
          <w:szCs w:val="28"/>
        </w:rPr>
        <w:t xml:space="preserve">8.6 "Run this" — Pattern A tracked plans, NOT executions</w:t>
      </w:r>
    </w:p>
    <w:p>
      <w:pPr>
        <w:spacing w:after="80" w:before="80" w:line="300"/>
      </w:pPr>
      <w:r>
        <w:rPr>
          <w:rFonts w:ascii="Arial" w:cs="Arial" w:eastAsia="Arial" w:hAnsi="Arial"/>
          <w:color w:val="0F172A"/>
          <w:sz w:val="22"/>
          <w:szCs w:val="22"/>
        </w:rPr>
        <w:t xml:space="preserve">Locks 11.153–11.162. Tapping "Run this" creates a tracked plan. ReorderOS tracks intent + outcome; owner executes the actual action in their POS / marketing tools / staff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Why tracked-not-execute. </w:t>
            </w:r>
            <w:r>
              <w:rPr>
                <w:rFonts w:ascii="Arial" w:cs="Arial" w:eastAsia="Arial" w:hAnsi="Arial"/>
                <w:color w:val="0F172A"/>
                <w:sz w:val="22"/>
                <w:szCs w:val="22"/>
              </w:rPr>
              <w:t xml:space="preserve">Lock 9.36 says read-only POS scopes. We literally cannot push a discount to a vendor's pricing engine. The architecture has to be honest about this — "executing pricing changes natively" would update menu_items.price in our database while the tenant's POS still has the old price, creating drift that Lock 7.11's nightly integrity check is designed to catch. We'd create more reconciliation work, not less.</w:t>
            </w:r>
          </w:p>
        </w:tc>
      </w:tr>
    </w:tbl>
    <w:p>
      <w:pPr>
        <w:pStyle w:val="Heading3"/>
        <w:spacing w:after="100" w:before="200"/>
      </w:pPr>
      <w:r>
        <w:rPr>
          <w:rFonts w:ascii="Arial" w:cs="Arial" w:eastAsia="Arial" w:hAnsi="Arial"/>
          <w:b/>
          <w:bCs/>
          <w:color w:val="0F172A"/>
          <w:sz w:val="24"/>
          <w:szCs w:val="24"/>
        </w:rPr>
        <w:t xml:space="preserve">8.6.1 opportunity_plans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Column</w:t>
            </w:r>
          </w:p>
        </w:tc>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Type</w:t>
            </w:r>
          </w:p>
        </w:tc>
        <w:tc>
          <w:tcPr>
            <w:tcW w:type="dxa" w:w="45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plan_id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UUIDv7 PK</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Unique identifier</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 T1 scope</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opportunity_id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Source opportunity</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accepted_at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tracked</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target_start_date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DATE</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owner plans to start</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target_end_date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DATE (nullable)</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measurement ends; null for ongoing</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status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proposed / accepted / running / completed_observed / dismissed_by_owner</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owner_notes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TEXT</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Owner's annotation</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outcome_observed_revenue_cents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INTEGER (nullable)</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Actual revenue impact, populated by outcome job</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outcome_observed_at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measurement completed</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created_at, updated_at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Audit</w:t>
            </w:r>
          </w:p>
        </w:tc>
      </w:tr>
    </w:tbl>
    <w:p>
      <w:pPr>
        <w:pStyle w:val="Heading3"/>
        <w:spacing w:after="100" w:before="200"/>
      </w:pPr>
      <w:r>
        <w:rPr>
          <w:rFonts w:ascii="Arial" w:cs="Arial" w:eastAsia="Arial" w:hAnsi="Arial"/>
          <w:b/>
          <w:bCs/>
          <w:color w:val="0F172A"/>
          <w:sz w:val="24"/>
          <w:szCs w:val="24"/>
        </w:rPr>
        <w:t xml:space="preserve">8.6.2 Outcome observation job</w:t>
      </w:r>
    </w:p>
    <w:p>
      <w:pPr>
        <w:spacing w:after="80" w:before="80" w:line="300"/>
      </w:pPr>
      <w:r>
        <w:rPr>
          <w:rFonts w:ascii="Arial" w:cs="Arial" w:eastAsia="Arial" w:hAnsi="Arial"/>
          <w:color w:val="0F172A"/>
          <w:sz w:val="22"/>
          <w:szCs w:val="22"/>
        </w:rPr>
        <w:t xml:space="preserve">Nightly batch job (per Lock 6.45) checks plans where target_end_date &lt; today AND status = accepted/running. Computes actual sales for the relevant items/window from sales aggregates, compares to projected_lift_cents from source opportunity, writes outcome_observed_revenue_cents and updates status to completed_observed.</w:t>
      </w:r>
    </w:p>
    <w:p>
      <w:pPr>
        <w:pStyle w:val="Heading2"/>
        <w:spacing w:after="120" w:before="280"/>
      </w:pPr>
      <w:r>
        <w:rPr>
          <w:rFonts w:ascii="Arial" w:cs="Arial" w:eastAsia="Arial" w:hAnsi="Arial"/>
          <w:b/>
          <w:bCs/>
          <w:color w:val="0F172A"/>
          <w:sz w:val="28"/>
          <w:szCs w:val="28"/>
        </w:rPr>
        <w:t xml:space="preserve">8.7 opportunities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Column</w:t>
            </w:r>
          </w:p>
        </w:tc>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Type</w:t>
            </w:r>
          </w:p>
        </w:tc>
        <w:tc>
          <w:tcPr>
            <w:tcW w:type="dxa" w:w="45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opportunity_id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UUIDv7 PK</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Unique identifier</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 T1 scope</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category</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time_block_promo / pricing_change / weather_campaign / winback / bundling / dead_hour_promo</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title_template_id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FK</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References template library</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input_data_snapshot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JSONB</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Captures data points used at compute time — supports "Show math" reproducibility</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projected_lift_cents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INTEGER</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Projection result</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projected_lift_period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this_week / this_year</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confidence_pct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DECIMAL</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 Lock 11.163</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action_payload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JSONB</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What "Run this" creates</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computed_at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Idempotency key</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expires_at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Recompute trigger</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status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active / dismissed / accepted_by_owner</w:t>
            </w:r>
          </w:p>
        </w:tc>
      </w:tr>
    </w:tbl>
    <w:p>
      <w:pPr>
        <w:spacing w:after="80" w:before="80" w:line="300"/>
      </w:pPr>
      <w:r>
        <w:rPr>
          <w:rFonts w:ascii="Arial" w:cs="Arial" w:eastAsia="Arial" w:hAnsi="Arial"/>
          <w:color w:val="0F172A"/>
          <w:sz w:val="22"/>
          <w:szCs w:val="22"/>
        </w:rPr>
        <w:t xml:space="preserve">Computation isolation: input_data_snapshot captures exactly the data points the formula used at compute time. Even if underlying tenant data changes after computation, the historical opportunity's math is preserved. "Show math" remains reproducible. Same audit-trail discipline as the unified ledger and append-only price observations.</w:t>
      </w:r>
    </w:p>
    <w:p>
      <w:pPr>
        <w:pStyle w:val="Heading2"/>
        <w:spacing w:after="120" w:before="280"/>
      </w:pPr>
      <w:r>
        <w:rPr>
          <w:rFonts w:ascii="Arial" w:cs="Arial" w:eastAsia="Arial" w:hAnsi="Arial"/>
          <w:b/>
          <w:bCs/>
          <w:color w:val="0F172A"/>
          <w:sz w:val="28"/>
          <w:szCs w:val="28"/>
        </w:rPr>
        <w:t xml:space="preserve">8.8 Round 11d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Predictive framing principle: "in my predictions" / "I project" / never bare claims.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11.139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Concrete templating examples for predictive framing.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Tilde prefix on projected numbers (~$17.6k/yr).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"Show math" button bridges projection and computation chain.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Top summary card line replacement. SUPERSEDES JSX placeholder.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supersedes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Confidence indicator alongside projections.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Six hardcoded generators with documented formulas.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Six v1 categories: time-block / pricing / weather / winback / bundling / dead-hour.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Bounded constants: 0.40 / 0.65 / 0.55 / 0.22 / 0.30 with sources.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(SUPERSEDED by 11.163.) Confidence as single percentage.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Superseded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"Show math" button reveals data → assumptions → formula → result.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11.149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opportunities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input_data_snapshot for "Show math" reproducibility.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per-tenant calibration of constants from observed outcomes.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cross-tenant peer-cohort benchmarking via Moat Layer 4.</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"Run this": Pattern A tracked plans, not executions.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Read-only POS scope reaffirmed (Lock 9.36).</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opportunity_plans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"Run this" confirmation flow with editable target dates.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Active Plans surface in Settings.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Outcome observation job: nightly comparison.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11.159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Manual outcome marking by owner.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Plan lifecycle audit via plan_status_history append-only.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Re-running same opportunity: suppress if active plan exists.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Owner-facing language: "Track this plan" / "Mark complete".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Confidence: tilde + sensitivity range + tier. SUPERSEDES Lock 11.147.</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supersedes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Sensitivity range computation: 25th-75th percentile of uncertainty inputs.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Data quality tier label inherits from Lock 11.74.</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Empirical accuracy track record after 5+ completed plans.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Track record disclosure rules: weekly update, honest about poor accuracy.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empirical accuracy proof over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11.169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Monte Carlo CI propagation if simple range systematically inadequate.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bl>
    <w:p>
      <w:r>
        <w:br w:type="page"/>
      </w:r>
    </w:p>
    <w:p>
      <w:pPr>
        <w:pStyle w:val="Heading1"/>
        <w:spacing w:after="160" w:before="360"/>
      </w:pPr>
      <w:r>
        <w:rPr>
          <w:rFonts w:ascii="Arial" w:cs="Arial" w:eastAsia="Arial" w:hAnsi="Arial"/>
          <w:b/>
          <w:bCs/>
          <w:color w:val="0F172A"/>
          <w:sz w:val="36"/>
          <w:szCs w:val="36"/>
        </w:rPr>
        <w:t xml:space="preserve">9. All mathematical models in one place</w:t>
      </w:r>
    </w:p>
    <w:p>
      <w:pPr>
        <w:spacing w:after="80" w:before="80" w:line="300"/>
      </w:pPr>
      <w:r>
        <w:rPr>
          <w:rFonts w:ascii="Arial" w:cs="Arial" w:eastAsia="Arial" w:hAnsi="Arial"/>
          <w:color w:val="0F172A"/>
          <w:sz w:val="22"/>
          <w:szCs w:val="22"/>
        </w:rPr>
        <w:t xml:space="preserve">This section consolidates every deterministic mathematical model from Workstream 11 into a single reference. Useful when implementing computations or auditing the architecture.</w:t>
      </w:r>
    </w:p>
    <w:p>
      <w:pPr>
        <w:pStyle w:val="Heading2"/>
        <w:spacing w:after="120" w:before="280"/>
      </w:pPr>
      <w:r>
        <w:rPr>
          <w:rFonts w:ascii="Arial" w:cs="Arial" w:eastAsia="Arial" w:hAnsi="Arial"/>
          <w:b/>
          <w:bCs/>
          <w:color w:val="0F172A"/>
          <w:sz w:val="28"/>
          <w:szCs w:val="28"/>
        </w:rPr>
        <w:t xml:space="preserve">9.1 BCG menu engineering (Kasavana-Smith Method 3)</w:t>
      </w:r>
    </w:p>
    <w:p>
      <w:pPr>
        <w:shd w:fill="F8FAFC" w:val="clear"/>
        <w:spacing w:after="80" w:before="80" w:line="280"/>
      </w:pPr>
      <w:r>
        <w:rPr>
          <w:rFonts w:ascii="Courier New" w:cs="Courier New" w:eastAsia="Courier New" w:hAnsi="Courier New"/>
          <w:color w:val="0F172A"/>
          <w:sz w:val="20"/>
          <w:szCs w:val="20"/>
        </w:rPr>
        <w:t xml:space="preserve">popularity_index = 
    (item_units_sold / total_menu_units_sold)
    / (1 / number_of_active_menu_items)
contribution_margin_pct = 
    (net_revenue_per_unit - cost_per_unit) / net_revenue_per_unit
Quadrant assignment:
    pop_index ≥ 0.70 AND margin ≥ menu_avg_margin → Star
    pop_index &lt; 0.70 AND margin ≥ menu_avg_margin → Puzzle
    pop_index ≥ 0.70 AND margin &lt; menu_avg_margin → Plowhorse
    pop_index &lt; 0.70 AND margin &lt; menu_avg_margin → Dog</w:t>
      </w:r>
    </w:p>
    <w:p>
      <w:pPr>
        <w:pStyle w:val="Heading2"/>
        <w:spacing w:after="120" w:before="280"/>
      </w:pPr>
      <w:r>
        <w:rPr>
          <w:rFonts w:ascii="Arial" w:cs="Arial" w:eastAsia="Arial" w:hAnsi="Arial"/>
          <w:b/>
          <w:bCs/>
          <w:color w:val="0F172A"/>
          <w:sz w:val="28"/>
          <w:szCs w:val="28"/>
        </w:rPr>
        <w:t xml:space="preserve">9.2 Net revenue (channel-aware)</w:t>
      </w:r>
    </w:p>
    <w:p>
      <w:pPr>
        <w:shd w:fill="F8FAFC" w:val="clear"/>
        <w:spacing w:after="80" w:before="80" w:line="280"/>
      </w:pPr>
      <w:r>
        <w:rPr>
          <w:rFonts w:ascii="Courier New" w:cs="Courier New" w:eastAsia="Courier New" w:hAnsi="Courier New"/>
          <w:color w:val="0F172A"/>
          <w:sz w:val="20"/>
          <w:szCs w:val="20"/>
        </w:rPr>
        <w:t xml:space="preserve">net_revenue_cents = 
    total_cents × (1 - commission_rate_pct / 100)
    - processing_fee_cents_per_order</w:t>
      </w:r>
    </w:p>
    <w:p>
      <w:pPr>
        <w:pStyle w:val="Heading2"/>
        <w:spacing w:after="120" w:before="280"/>
      </w:pPr>
      <w:r>
        <w:rPr>
          <w:rFonts w:ascii="Arial" w:cs="Arial" w:eastAsia="Arial" w:hAnsi="Arial"/>
          <w:b/>
          <w:bCs/>
          <w:color w:val="0F172A"/>
          <w:sz w:val="28"/>
          <w:szCs w:val="28"/>
        </w:rPr>
        <w:t xml:space="preserve">9.3 Price elasticity (per item, regression-based)</w:t>
      </w:r>
    </w:p>
    <w:p>
      <w:pPr>
        <w:shd w:fill="F8FAFC" w:val="clear"/>
        <w:spacing w:after="80" w:before="80" w:line="280"/>
      </w:pPr>
      <w:r>
        <w:rPr>
          <w:rFonts w:ascii="Courier New" w:cs="Courier New" w:eastAsia="Courier New" w:hAnsi="Courier New"/>
          <w:color w:val="0F172A"/>
          <w:sz w:val="20"/>
          <w:szCs w:val="20"/>
        </w:rPr>
        <w:t xml:space="preserve">Linear regression: log(demand) = α + β × log(price)
elasticity = -β
Bounded to [0.2, 3.0]; outliers fall back to next tier:
    Tier 1: per-item (≥3 changes in 24mo)
    Tier 2: tenant menu-wide average
    Tier 3: industry default 1.2
Demand response at new price:
projected_demand = 
    current_demand × (1 - elasticity × (price_delta / current_price))
(bounded at 0)</w:t>
      </w:r>
    </w:p>
    <w:p>
      <w:pPr>
        <w:pStyle w:val="Heading2"/>
        <w:spacing w:after="120" w:before="280"/>
      </w:pPr>
      <w:r>
        <w:rPr>
          <w:rFonts w:ascii="Arial" w:cs="Arial" w:eastAsia="Arial" w:hAnsi="Arial"/>
          <w:b/>
          <w:bCs/>
          <w:color w:val="0F172A"/>
          <w:sz w:val="28"/>
          <w:szCs w:val="28"/>
        </w:rPr>
        <w:t xml:space="preserve">9.4 Dayparts heatmap (12-week window)</w:t>
      </w:r>
    </w:p>
    <w:p>
      <w:pPr>
        <w:shd w:fill="F8FAFC" w:val="clear"/>
        <w:spacing w:after="80" w:before="80" w:line="280"/>
      </w:pPr>
      <w:r>
        <w:rPr>
          <w:rFonts w:ascii="Courier New" w:cs="Courier New" w:eastAsia="Courier New" w:hAnsi="Courier New"/>
          <w:color w:val="0F172A"/>
          <w:sz w:val="20"/>
          <w:szCs w:val="20"/>
        </w:rPr>
        <w:t xml:space="preserve">For each (tenant, day_of_week, hour_of_day) cell:
    observations = covers count for cell across last 12 weeks
    cell_mean = mean(observations)
    cell_stddev = stddev(observations)
    filtered = [obs for obs if |obs - cell_mean| ≤ 2 × cell_stddev]
    final_cell_value = mean(filtered)
If &gt;25% removed, use 12-week pure mean (don't over-prune).</w:t>
      </w:r>
    </w:p>
    <w:p>
      <w:pPr>
        <w:pStyle w:val="Heading2"/>
        <w:spacing w:after="120" w:before="280"/>
      </w:pPr>
      <w:r>
        <w:rPr>
          <w:rFonts w:ascii="Arial" w:cs="Arial" w:eastAsia="Arial" w:hAnsi="Arial"/>
          <w:b/>
          <w:bCs/>
          <w:color w:val="0F172A"/>
          <w:sz w:val="28"/>
          <w:szCs w:val="28"/>
        </w:rPr>
        <w:t xml:space="preserve">9.5 Dead zone candidate identification</w:t>
      </w:r>
    </w:p>
    <w:p>
      <w:pPr>
        <w:shd w:fill="F8FAFC" w:val="clear"/>
        <w:spacing w:after="80" w:before="80" w:line="280"/>
      </w:pPr>
      <w:r>
        <w:rPr>
          <w:rFonts w:ascii="Courier New" w:cs="Courier New" w:eastAsia="Courier New" w:hAnsi="Courier New"/>
          <w:color w:val="0F172A"/>
          <w:sz w:val="20"/>
          <w:szCs w:val="20"/>
        </w:rPr>
        <w:t xml:space="preserve">Dead zone = contiguous block of cells WHERE
    covers_avg ≤ tenant_25th_percentile_across_all_cells
    AND median_of_tenant_heatmap ≥ 2 × candidate_covers_avg
Peak hour = contiguous block of cells WHERE
    covers_avg ≥ tenant_90th_percentile_across_all_cells
    AND covers_avg &gt; 1.5 × median_of_tenant_heatmap</w:t>
      </w:r>
    </w:p>
    <w:p>
      <w:pPr>
        <w:pStyle w:val="Heading2"/>
        <w:spacing w:after="120" w:before="280"/>
      </w:pPr>
      <w:r>
        <w:rPr>
          <w:rFonts w:ascii="Arial" w:cs="Arial" w:eastAsia="Arial" w:hAnsi="Arial"/>
          <w:b/>
          <w:bCs/>
          <w:color w:val="0F172A"/>
          <w:sz w:val="28"/>
          <w:szCs w:val="28"/>
        </w:rPr>
        <w:t xml:space="preserve">9.6 Weather correlation (per cell)</w:t>
      </w:r>
    </w:p>
    <w:p>
      <w:pPr>
        <w:shd w:fill="F8FAFC" w:val="clear"/>
        <w:spacing w:after="80" w:before="80" w:line="280"/>
      </w:pPr>
      <w:r>
        <w:rPr>
          <w:rFonts w:ascii="Courier New" w:cs="Courier New" w:eastAsia="Courier New" w:hAnsi="Courier New"/>
          <w:color w:val="0F172A"/>
          <w:sz w:val="20"/>
          <w:szCs w:val="20"/>
        </w:rPr>
        <w:t xml:space="preserve">days_with    = days where weather_condition holds
days_without = days where it doesn't
avg_with    = mean(covers on days_with)
avg_without = mean(covers on days_without)
magnitude_pct = (avg_with - avg_without) / avg_without × 100
p_value = Welch's t-test on the two distributions
Render if: ≥8 days each side AND |magnitude| ≥ 10% AND p &lt; 0.10</w:t>
      </w:r>
    </w:p>
    <w:p>
      <w:pPr>
        <w:pStyle w:val="Heading2"/>
        <w:spacing w:after="120" w:before="280"/>
      </w:pPr>
      <w:r>
        <w:rPr>
          <w:rFonts w:ascii="Arial" w:cs="Arial" w:eastAsia="Arial" w:hAnsi="Arial"/>
          <w:b/>
          <w:bCs/>
          <w:color w:val="0F172A"/>
          <w:sz w:val="28"/>
          <w:szCs w:val="28"/>
        </w:rPr>
        <w:t xml:space="preserve">9.7 Time-block promo (Generator 1)</w:t>
      </w:r>
    </w:p>
    <w:p>
      <w:pPr>
        <w:shd w:fill="F8FAFC" w:val="clear"/>
        <w:spacing w:after="80" w:before="80" w:line="280"/>
      </w:pPr>
      <w:r>
        <w:rPr>
          <w:rFonts w:ascii="Courier New" w:cs="Courier New" w:eastAsia="Courier New" w:hAnsi="Courier New"/>
          <w:color w:val="0F172A"/>
          <w:sz w:val="20"/>
          <w:szCs w:val="20"/>
        </w:rPr>
        <w:t xml:space="preserve">expected_extra_orders_per_week = 
    (peak_day_avg_orders - dead_day_avg_orders) × 0.40
lift = expected_extra × item_avg_revenue × 52
     × (1 - discount_pct / current_price)</w:t>
      </w:r>
    </w:p>
    <w:p>
      <w:pPr>
        <w:pStyle w:val="Heading2"/>
        <w:spacing w:after="120" w:before="280"/>
      </w:pPr>
      <w:r>
        <w:rPr>
          <w:rFonts w:ascii="Arial" w:cs="Arial" w:eastAsia="Arial" w:hAnsi="Arial"/>
          <w:b/>
          <w:bCs/>
          <w:color w:val="0F172A"/>
          <w:sz w:val="28"/>
          <w:szCs w:val="28"/>
        </w:rPr>
        <w:t xml:space="preserve">9.8 Pricing change (Generator 2)</w:t>
      </w:r>
    </w:p>
    <w:p>
      <w:pPr>
        <w:shd w:fill="F8FAFC" w:val="clear"/>
        <w:spacing w:after="80" w:before="80" w:line="280"/>
      </w:pPr>
      <w:r>
        <w:rPr>
          <w:rFonts w:ascii="Courier New" w:cs="Courier New" w:eastAsia="Courier New" w:hAnsi="Courier New"/>
          <w:color w:val="0F172A"/>
          <w:sz w:val="20"/>
          <w:szCs w:val="20"/>
        </w:rPr>
        <w:t xml:space="preserve">projected_volume_at_new_price = 
    current_units × (1 - elasticity × (price_delta / current_price))
annual_lift = (volume_new × price_new - volume_current × price_current) × 52
demand_risk = elasticity × (price_delta / current_price) × 100</w:t>
      </w:r>
    </w:p>
    <w:p>
      <w:pPr>
        <w:pStyle w:val="Heading2"/>
        <w:spacing w:after="120" w:before="280"/>
      </w:pPr>
      <w:r>
        <w:rPr>
          <w:rFonts w:ascii="Arial" w:cs="Arial" w:eastAsia="Arial" w:hAnsi="Arial"/>
          <w:b/>
          <w:bCs/>
          <w:color w:val="0F172A"/>
          <w:sz w:val="28"/>
          <w:szCs w:val="28"/>
        </w:rPr>
        <w:t xml:space="preserve">9.9 Weather campaign (Generator 3)</w:t>
      </w:r>
    </w:p>
    <w:p>
      <w:pPr>
        <w:shd w:fill="F8FAFC" w:val="clear"/>
        <w:spacing w:after="80" w:before="80" w:line="280"/>
      </w:pPr>
      <w:r>
        <w:rPr>
          <w:rFonts w:ascii="Courier New" w:cs="Courier New" w:eastAsia="Courier New" w:hAnsi="Courier New"/>
          <w:color w:val="0F172A"/>
          <w:sz w:val="20"/>
          <w:szCs w:val="20"/>
        </w:rPr>
        <w:t xml:space="preserve">expected_extra_volume_on_event_day = 
    avg_daily_channel_orders × correlation_pct
captured_orders = expected_extra × 0.65
revenue_per_event_day = 
    captured_orders × avg_order_value
    × (1 - discount_pct - channel_commission_pct)
window_lift = revenue_per_event_day × forecast_event_days_in_window</w:t>
      </w:r>
    </w:p>
    <w:p>
      <w:pPr>
        <w:pStyle w:val="Heading2"/>
        <w:spacing w:after="120" w:before="280"/>
      </w:pPr>
      <w:r>
        <w:rPr>
          <w:rFonts w:ascii="Arial" w:cs="Arial" w:eastAsia="Arial" w:hAnsi="Arial"/>
          <w:b/>
          <w:bCs/>
          <w:color w:val="0F172A"/>
          <w:sz w:val="28"/>
          <w:szCs w:val="28"/>
        </w:rPr>
        <w:t xml:space="preserve">9.10 Winback (Generator 4)</w:t>
      </w:r>
    </w:p>
    <w:p>
      <w:pPr>
        <w:shd w:fill="F8FAFC" w:val="clear"/>
        <w:spacing w:after="80" w:before="80" w:line="280"/>
      </w:pPr>
      <w:r>
        <w:rPr>
          <w:rFonts w:ascii="Courier New" w:cs="Courier New" w:eastAsia="Courier New" w:hAnsi="Courier New"/>
          <w:color w:val="0F172A"/>
          <w:sz w:val="20"/>
          <w:szCs w:val="20"/>
        </w:rPr>
        <w:t xml:space="preserve">historical_weekly_revenue = 
    avg(sales_during_active_period) × historical_avg_price
projected_winback_volume = historical_weekly_revenue × 0.55
projected_annual = projected_winback_volume × 52 × current_margin_pct</w:t>
      </w:r>
    </w:p>
    <w:p>
      <w:pPr>
        <w:pStyle w:val="Heading2"/>
        <w:spacing w:after="120" w:before="280"/>
      </w:pPr>
      <w:r>
        <w:rPr>
          <w:rFonts w:ascii="Arial" w:cs="Arial" w:eastAsia="Arial" w:hAnsi="Arial"/>
          <w:b/>
          <w:bCs/>
          <w:color w:val="0F172A"/>
          <w:sz w:val="28"/>
          <w:szCs w:val="28"/>
        </w:rPr>
        <w:t xml:space="preserve">9.11 Bundling (Generator 5)</w:t>
      </w:r>
    </w:p>
    <w:p>
      <w:pPr>
        <w:shd w:fill="F8FAFC" w:val="clear"/>
        <w:spacing w:after="80" w:before="80" w:line="280"/>
      </w:pPr>
      <w:r>
        <w:rPr>
          <w:rFonts w:ascii="Courier New" w:cs="Courier New" w:eastAsia="Courier New" w:hAnsi="Courier New"/>
          <w:color w:val="0F172A"/>
          <w:sz w:val="20"/>
          <w:szCs w:val="20"/>
        </w:rPr>
        <w:t xml:space="preserve">projected_extra_puzzle_volume = 
    star_weekly_units × 0.22
weekly_lift = projected_extra × bundle_price × puzzle_margin_pct
annual_lift = weekly_lift × 52</w:t>
      </w:r>
    </w:p>
    <w:p>
      <w:pPr>
        <w:pStyle w:val="Heading2"/>
        <w:spacing w:after="120" w:before="280"/>
      </w:pPr>
      <w:r>
        <w:rPr>
          <w:rFonts w:ascii="Arial" w:cs="Arial" w:eastAsia="Arial" w:hAnsi="Arial"/>
          <w:b/>
          <w:bCs/>
          <w:color w:val="0F172A"/>
          <w:sz w:val="28"/>
          <w:szCs w:val="28"/>
        </w:rPr>
        <w:t xml:space="preserve">9.12 Dead-hour promo (Generator 6)</w:t>
      </w:r>
    </w:p>
    <w:p>
      <w:pPr>
        <w:shd w:fill="F8FAFC" w:val="clear"/>
        <w:spacing w:after="80" w:before="80" w:line="280"/>
      </w:pPr>
      <w:r>
        <w:rPr>
          <w:rFonts w:ascii="Courier New" w:cs="Courier New" w:eastAsia="Courier New" w:hAnsi="Courier New"/>
          <w:color w:val="0F172A"/>
          <w:sz w:val="20"/>
          <w:szCs w:val="20"/>
        </w:rPr>
        <w:t xml:space="preserve">gap_per_hour = comparable_hour_avg - dead_hour_avg
extra_covers_per_week = 
    gap_per_hour × 0.30
    × hours_in_dead_zone
    × days_per_week_in_dead_zone
annual_lift = extra_covers × tenant_avg_ticket × 52 × discount_adjustment</w:t>
      </w:r>
    </w:p>
    <w:p>
      <w:pPr>
        <w:pStyle w:val="Heading2"/>
        <w:spacing w:after="120" w:before="280"/>
      </w:pPr>
      <w:r>
        <w:rPr>
          <w:rFonts w:ascii="Arial" w:cs="Arial" w:eastAsia="Arial" w:hAnsi="Arial"/>
          <w:b/>
          <w:bCs/>
          <w:color w:val="0F172A"/>
          <w:sz w:val="28"/>
          <w:szCs w:val="28"/>
        </w:rPr>
        <w:t xml:space="preserve">9.13 Bounded constants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Constant</w:t>
            </w:r>
          </w:p>
        </w:tc>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c>
          <w:tcPr>
            <w:tcW w:type="dxa" w:w="4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Used in</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Kasavana popularity threshold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0.70</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BCG quadrant Star/Puzzle vs Plowhorse/Dog</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Industry default elasticity</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elasticity Tier 3 fallback</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Elasticity bounds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[0.2, 3.0]</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Tier 1 outlier rejection</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Heatmap outlier exclusion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2σ</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12-week trailing window aggregation</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Heatmap pruning safeguard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25%</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If exclusion removes too much</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Dead zone gap threshold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 median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Variance check for meaningful gap</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Peak hour gap threshold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1.5× median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Variance check for meaningful peak</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 correlation min sample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 days each side</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Statistical significance threshold</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 correlation min magnitude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Operational meaningfulness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 correlation p-value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&lt; 0.10</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Statistical significance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Time-block promo capture rate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0.40</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Generator 1</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Discount capture rate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0.65</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Generator 3</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Winback recovery factor</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0.55</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Generator 4</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Bundle attach rate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0.22</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Generator 5</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Dead-hour target capture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0.30</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Generator 6</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Sensitivity range bounds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25th-75th percentile</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Confidence display per Lock 11.164</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Track record minimum</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 plans</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Empirical accuracy disclosure</w:t>
            </w:r>
          </w:p>
        </w:tc>
      </w:tr>
    </w:tbl>
    <w:p>
      <w:pPr>
        <w:spacing w:after="80" w:before="80" w:line="300"/>
      </w:pPr>
      <w:r>
        <w:rPr>
          <w:rFonts w:ascii="Arial" w:cs="Arial" w:eastAsia="Arial" w:hAnsi="Arial"/>
          <w:color w:val="0F172A"/>
          <w:sz w:val="22"/>
          <w:szCs w:val="22"/>
        </w:rPr>
        <w:t xml:space="preserve">Every constant is documented with source/justification in code comments. Phase 2 paths exist for per-tenant calibration of the capture rates from observed historical outcomes (Lock 11.151).</w:t>
      </w:r>
    </w:p>
    <w:p>
      <w:r>
        <w:br w:type="page"/>
      </w:r>
    </w:p>
    <w:p>
      <w:pPr>
        <w:pStyle w:val="Heading1"/>
        <w:spacing w:after="160" w:before="360"/>
      </w:pPr>
      <w:r>
        <w:rPr>
          <w:rFonts w:ascii="Arial" w:cs="Arial" w:eastAsia="Arial" w:hAnsi="Arial"/>
          <w:b/>
          <w:bCs/>
          <w:color w:val="0F172A"/>
          <w:sz w:val="36"/>
          <w:szCs w:val="36"/>
        </w:rPr>
        <w:t xml:space="preserve">10. Architecture diagram</w:t>
      </w:r>
    </w:p>
    <w:p>
      <w:pPr>
        <w:spacing w:after="80" w:before="80" w:line="300"/>
      </w:pPr>
      <w:r>
        <w:rPr>
          <w:rFonts w:ascii="Arial" w:cs="Arial" w:eastAsia="Arial" w:hAnsi="Arial"/>
          <w:color w:val="0F172A"/>
          <w:sz w:val="22"/>
          <w:szCs w:val="22"/>
        </w:rPr>
        <w:t xml:space="preserve">Visual reference for the Sales page four-tab data architecture. Each tab's components are color-coded; underlying data sources are shown along the bottom; cross-cutting principles are summarized in the green panel.</w:t>
      </w:r>
    </w:p>
    <w:p>
      <w:pPr>
        <w:spacing w:after="160" w:before="160"/>
        <w:jc w:val="center"/>
      </w:pPr>
      <w:r>
        <w:drawing>
          <wp:inline distT="0" distB="0" distL="0" distR="0">
            <wp:extent cx="6096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352925"/>
                    </a:xfrm>
                    <a:prstGeom prst="rect">
                      <a:avLst/>
                    </a:prstGeom>
                  </pic:spPr>
                </pic:pic>
              </a:graphicData>
            </a:graphic>
          </wp:inline>
        </w:drawing>
      </w:r>
    </w:p>
    <w:p>
      <w:pPr>
        <w:spacing w:after="240" w:before="0"/>
        <w:jc w:val="center"/>
      </w:pPr>
      <w:r>
        <w:rPr>
          <w:rFonts w:ascii="Arial" w:cs="Arial" w:eastAsia="Arial" w:hAnsi="Arial"/>
          <w:i/>
          <w:iCs/>
          <w:color w:val="475569"/>
          <w:sz w:val="20"/>
          <w:szCs w:val="20"/>
        </w:rPr>
        <w:t xml:space="preserve">Figure: Sales page four-tab architecture — components, data sources, and cross-cutting principles across Workstream 11.</w:t>
      </w:r>
    </w:p>
    <w:p>
      <w:r>
        <w:br w:type="page"/>
      </w:r>
    </w:p>
    <w:p>
      <w:pPr>
        <w:pStyle w:val="Heading1"/>
        <w:spacing w:after="160" w:before="360"/>
      </w:pPr>
      <w:r>
        <w:rPr>
          <w:rFonts w:ascii="Arial" w:cs="Arial" w:eastAsia="Arial" w:hAnsi="Arial"/>
          <w:b/>
          <w:bCs/>
          <w:color w:val="0F172A"/>
          <w:sz w:val="36"/>
          <w:szCs w:val="36"/>
        </w:rPr>
        <w:t xml:space="preserve">11. Engineering scope and Phase 2 paths</w:t>
      </w:r>
    </w:p>
    <w:p>
      <w:pPr>
        <w:pStyle w:val="Heading2"/>
        <w:spacing w:after="120" w:before="280"/>
      </w:pPr>
      <w:r>
        <w:rPr>
          <w:rFonts w:ascii="Arial" w:cs="Arial" w:eastAsia="Arial" w:hAnsi="Arial"/>
          <w:b/>
          <w:bCs/>
          <w:color w:val="0F172A"/>
          <w:sz w:val="28"/>
          <w:szCs w:val="28"/>
        </w:rPr>
        <w:t xml:space="preserve">11.1 v1 engineering scope (Workstream 11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Component</w:t>
            </w:r>
          </w:p>
        </w:tc>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menu_categories table + onboarding step</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tenant_channel_settings + onboarding rate collection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Channel enum split (POS adapter mapping updates)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BCG quadrant computation + caching</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11a/b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Star/Kill callout selection + templates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Pre-aggregated tables + nightly batch integration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~5-7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Price elasticity three-tier computation + cache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~5-7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Action library + tenant-data slot resolver</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~5-7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Dayparts heatmap + outlier exclusion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Dead zone / peak hour detection + callouts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Google Places integration (opt-in)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~5-7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 correlations + collecting-data states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~5-7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Six opportunity generators + formulas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~10-14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opportunities + opportunity_plans tables + outcome job</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~5-7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"Show math" reproducibility (input_data_snapshot)</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11d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UI implementation (existing JSX + corrections)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All rounds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~5-7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11 engineering total</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~12-15 weeks</w:t>
            </w:r>
          </w:p>
        </w:tc>
      </w:tr>
    </w:tbl>
    <w:p>
      <w:pPr>
        <w:pStyle w:val="Heading2"/>
        <w:spacing w:after="120" w:before="280"/>
      </w:pPr>
      <w:r>
        <w:rPr>
          <w:rFonts w:ascii="Arial" w:cs="Arial" w:eastAsia="Arial" w:hAnsi="Arial"/>
          <w:b/>
          <w:bCs/>
          <w:color w:val="0F172A"/>
          <w:sz w:val="28"/>
          <w:szCs w:val="28"/>
        </w:rPr>
        <w:t xml:space="preserve">11.2 Phase 2 paths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Phase 2 feature</w:t>
            </w:r>
          </w:p>
        </w:tc>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Trigger</w:t>
            </w:r>
          </w:p>
        </w:tc>
        <w:tc>
          <w:tcPr>
            <w:tcW w:type="dxa" w:w="28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 lock</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Per-tenant configurable BCG thresholds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Beta data shows owners adjusting interpretation</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11.66</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Cross-tenant category aggregation</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Moat Layer 4 ships per Lock 10.45</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11.39</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Anthropic-assisted action ranking</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 beta tenants ignore recommendations for 3+ months</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11.89</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Per-transaction fee data from POS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Square/Clover adapters extract from webhook payloads</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11.30</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Severity-based escalation for price detections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Pattern from Workstream 10 carries forward</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10.43</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Discovery-mode weather correlations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 beta tenants engaging + requesting more</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11.136</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Cross-tenant POI patterns (Moat Layer 4)</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Moat Layer 4 + tenant consent per Lock 10.49</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11.124</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Per-tenant calibration of opportunity constants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6+ months of observed outcomes per tenant</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11.151</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Cross-tenant peer-cohort benchmarks on Moves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Moat Layer 4 + tenant consent</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11.152</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Owner-trained opportunity learning</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6+ months of outcome data per tenant</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11.152</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Monte Carlo CI propagation on projections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Sensitivity range systematically inadequate</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11.169</w:t>
            </w:r>
          </w:p>
        </w:tc>
      </w:tr>
    </w:tbl>
    <w:p>
      <w:pPr>
        <w:pStyle w:val="Heading2"/>
        <w:spacing w:after="120" w:before="280"/>
      </w:pPr>
      <w:r>
        <w:rPr>
          <w:rFonts w:ascii="Arial" w:cs="Arial" w:eastAsia="Arial" w:hAnsi="Arial"/>
          <w:b/>
          <w:bCs/>
          <w:color w:val="0F172A"/>
          <w:sz w:val="28"/>
          <w:szCs w:val="28"/>
        </w:rPr>
        <w:t xml:space="preserve">11.3 Combined v1 engineering total (across closed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Component</w:t>
            </w:r>
          </w:p>
        </w:tc>
        <w:tc>
          <w:tcPr>
            <w:tcW w:type="dxa" w:w="2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Forecast engine</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5.13</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~8-10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8 platform layer</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Database Architecture v2</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~5-9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9 integration layer</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Integration &amp; PI v1</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~7-10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10 price intelligence</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Integration &amp; PI v1</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~3-4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11 Sales page</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This document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~12-15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Combined core systems through W11</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~35-48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Remaining UI workstreams (12-17)</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Estimated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~10-18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v1 total estimate</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~45-66 weeks (~11-16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Workstream 11 added meaningful weight to the v1 estimate. </w:t>
            </w:r>
            <w:r>
              <w:rPr>
                <w:rFonts w:ascii="Arial" w:cs="Arial" w:eastAsia="Arial" w:hAnsi="Arial"/>
                <w:color w:val="0F172A"/>
                <w:sz w:val="22"/>
                <w:szCs w:val="22"/>
              </w:rPr>
              <w:t xml:space="preserve">The Sales page is the most architecturally consequential UI in the app — six opportunity generators, three-tier elasticity computation, BCG quadrant, dayparts analysis, weather correlations, location enrichment, predictive framing infrastructure. The estimate range moved from ~9-13 months at end of W10 to ~11-16 months at end of W11. The bulk of remaining workstreams (Dashboard, Orders, Inventory, Variance, Settings, Admin) compose with W11 architecture rather than introducing new fundamentals.</w:t>
            </w:r>
          </w:p>
        </w:tc>
      </w:tr>
    </w:tbl>
    <w:p>
      <w:r>
        <w:br w:type="page"/>
      </w:r>
    </w:p>
    <w:p>
      <w:pPr>
        <w:pStyle w:val="Heading1"/>
        <w:spacing w:after="160" w:before="360"/>
      </w:pPr>
      <w:r>
        <w:rPr>
          <w:rFonts w:ascii="Arial" w:cs="Arial" w:eastAsia="Arial" w:hAnsi="Arial"/>
          <w:b/>
          <w:bCs/>
          <w:color w:val="0F172A"/>
          <w:sz w:val="36"/>
          <w:szCs w:val="36"/>
        </w:rPr>
        <w:t xml:space="preserve">12. Open items and what comes next</w:t>
      </w:r>
    </w:p>
    <w:p>
      <w:pPr>
        <w:pStyle w:val="Heading2"/>
        <w:spacing w:after="120" w:before="280"/>
      </w:pPr>
      <w:r>
        <w:rPr>
          <w:rFonts w:ascii="Arial" w:cs="Arial" w:eastAsia="Arial" w:hAnsi="Arial"/>
          <w:b/>
          <w:bCs/>
          <w:color w:val="0F172A"/>
          <w:sz w:val="28"/>
          <w:szCs w:val="28"/>
        </w:rPr>
        <w:t xml:space="preserve">12.1 Open across W11</w:t>
      </w:r>
    </w:p>
    <w:p>
      <w:pPr>
        <w:spacing w:after="80" w:before="80" w:line="300"/>
      </w:pPr>
      <w:r>
        <w:rPr>
          <w:rFonts w:ascii="Arial" w:cs="Arial" w:eastAsia="Arial" w:hAnsi="Arial"/>
          <w:color w:val="0F172A"/>
          <w:sz w:val="22"/>
          <w:szCs w:val="22"/>
        </w:rPr>
        <w:t xml:space="preserve">Workstream 11 fully closed. No open items remaining.</w:t>
      </w:r>
    </w:p>
    <w:p>
      <w:pPr>
        <w:pStyle w:val="Heading2"/>
        <w:spacing w:after="120" w:before="280"/>
      </w:pPr>
      <w:r>
        <w:rPr>
          <w:rFonts w:ascii="Arial" w:cs="Arial" w:eastAsia="Arial" w:hAnsi="Arial"/>
          <w:b/>
          <w:bCs/>
          <w:color w:val="0F172A"/>
          <w:sz w:val="28"/>
          <w:szCs w:val="28"/>
        </w:rPr>
        <w:t xml:space="preserve">12.2 Architecture work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5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Workstream</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Estimated rounds</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12</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Dashboard / homepage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3-4</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13</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Orders page architecture (UX detail layer)</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14</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Inventory page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15</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Variance Report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16</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Settings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17</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web portal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bl>
    <w:p>
      <w:pPr>
        <w:spacing w:after="80" w:before="80" w:line="300"/>
      </w:pPr>
      <w:r>
        <w:rPr>
          <w:rFonts w:ascii="Arial" w:cs="Arial" w:eastAsia="Arial" w:hAnsi="Arial"/>
          <w:color w:val="0F172A"/>
          <w:sz w:val="22"/>
          <w:szCs w:val="22"/>
        </w:rPr>
        <w:t xml:space="preserve">Estimated total rounds remaining: 9-13. Workstream 12 (Dashboard) is next per the founder-confirmed sequence. Dashboard composes with W11 — Lock 11.36's Dashboard summary card from W11 hooks Dashboard work; Lock 9.33's POS reconnection card lives there; Lock 9.80's past_due payment card lives there; Lock 11.121's location enrichment affordance composes; price change detections from W10 surface there; etc.</w:t>
      </w:r>
    </w:p>
    <w:p>
      <w:pPr>
        <w:pStyle w:val="Heading2"/>
        <w:spacing w:after="120" w:before="280"/>
      </w:pPr>
      <w:r>
        <w:rPr>
          <w:rFonts w:ascii="Arial" w:cs="Arial" w:eastAsia="Arial" w:hAnsi="Arial"/>
          <w:b/>
          <w:bCs/>
          <w:color w:val="0F172A"/>
          <w:sz w:val="28"/>
          <w:szCs w:val="28"/>
        </w:rPr>
        <w:t xml:space="preserve">12.3 How to use this document</w:t>
      </w:r>
    </w:p>
    <w:p>
      <w:pPr>
        <w:spacing w:after="80" w:before="80" w:line="300"/>
      </w:pPr>
      <w:r>
        <w:rPr>
          <w:rFonts w:ascii="Arial" w:cs="Arial" w:eastAsia="Arial" w:hAnsi="Arial"/>
          <w:color w:val="0F172A"/>
          <w:sz w:val="22"/>
          <w:szCs w:val="22"/>
        </w:rPr>
        <w:t xml:space="preserve">This is a standalone reference for Workstream 11. It does not supersede Architecture Decision Log v3 (W1-7) or Database Architecture v2 (W8) or Integration &amp; Price Intelligence v1 (W9-10) — all five documents hold simultaneously.</w:t>
      </w:r>
    </w:p>
    <w:p>
      <w:pPr>
        <w:spacing w:after="80" w:before="80" w:line="300"/>
      </w:pPr>
      <w:r>
        <w:rPr>
          <w:rFonts w:ascii="Arial" w:cs="Arial" w:eastAsia="Arial" w:hAnsi="Arial"/>
          <w:color w:val="0F172A"/>
          <w:sz w:val="22"/>
          <w:szCs w:val="22"/>
        </w:rPr>
        <w:t xml:space="preserve">When reviewing the Sales page architecture (any of the four tabs), this document is authoritative. When reviewing the mathematical formulas backing any Sales page computation, Section 9 is the canonical source. When reviewing how the Sales page UI was reconciled against the built JSX, Section 2 documents that. When reviewing cross-cutting principles applying across all surfaces, Section 4 documents them.</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numbering convention: </w:t>
            </w:r>
            <w:r>
              <w:rPr>
                <w:rFonts w:ascii="Arial" w:cs="Arial" w:eastAsia="Arial" w:hAnsi="Arial"/>
                <w:color w:val="0F172A"/>
                <w:sz w:val="22"/>
                <w:szCs w:val="22"/>
              </w:rPr>
              <w:t xml:space="preserve">Locks numbered 11.1–11.169 belong to Workstream 11 (with 11.11–11.20 + 11.29 retracted; 11.147 superseded by 11.163). Locks numbered 9.27 and 9.63 are superseded by 11.41 and 11.118 respectively. Locks numbered 10.x belong to Workstream 10 (Integration &amp; PI v1). Locks numbered 1.x–7.x belong to Workstreams 1-7 (ADL v3). Locks numbered 8.x belong to Workstream 8 (DB Arch v2). Locks numbered with v5 §X.Y belong to onboarding (Onboarding v5). Locks are stable across documents — a citation 'per Lock 11.41' means the same thing forever.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6"/>
      </w:pBdr>
      <w:spacing w:after="0" w:before="0"/>
      <w:jc w:val="right"/>
    </w:pPr>
    <w:r>
      <w:rPr>
        <w:rFonts w:ascii="Arial" w:cs="Arial" w:eastAsia="Arial" w:hAnsi="Arial"/>
        <w:color w:val="475569"/>
        <w:sz w:val="18"/>
        <w:szCs w:val="18"/>
      </w:rPr>
      <w:t xml:space="preserve">ReorderOS — Sales Page Architecture (Workstream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f6f2e3773e77d689608f78ac8333c1433413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Sales Page Architecture v1 — Workstream 11</dc:title>
  <dc:creator>Vito (ReorderOS)</dc:creator>
  <dc:description>Four-tab Sales page architecture with mathematical models</dc:description>
  <cp:lastModifiedBy>Un-named</cp:lastModifiedBy>
  <cp:revision>1</cp:revision>
  <dcterms:created xsi:type="dcterms:W3CDTF">2026-04-29T14:00:51.390Z</dcterms:created>
  <dcterms:modified xsi:type="dcterms:W3CDTF">2026-04-29T14:00:51.391Z</dcterms:modified>
</cp:coreProperties>
</file>

<file path=docProps/custom.xml><?xml version="1.0" encoding="utf-8"?>
<Properties xmlns="http://schemas.openxmlformats.org/officeDocument/2006/custom-properties" xmlns:vt="http://schemas.openxmlformats.org/officeDocument/2006/docPropsVTypes"/>
</file>